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C9" w:rsidRPr="00986029" w:rsidRDefault="00AF6BC9" w:rsidP="00AF6BC9">
      <w:pPr>
        <w:pStyle w:val="Heading1"/>
        <w:numPr>
          <w:ilvl w:val="0"/>
          <w:numId w:val="0"/>
        </w:numPr>
        <w:spacing w:before="0"/>
      </w:pPr>
      <w:r w:rsidRPr="00986029">
        <w:t xml:space="preserve">MVĮ darbo grupės klausimynas. Teisės aktai, kuriais reglamentuojamas cheminių medžiagų rizikos valdymas (išskyrus REACH reglamentą), visų pirma, KŽP reglamentas ir susiję teisės aktai </w:t>
      </w:r>
    </w:p>
    <w:p w:rsidR="00AF6BC9" w:rsidRPr="00986029" w:rsidRDefault="00AF6BC9" w:rsidP="00AF6BC9">
      <w:pPr>
        <w:pStyle w:val="Heading2"/>
      </w:pPr>
      <w:r w:rsidRPr="00986029">
        <w:t xml:space="preserve">Apie jus ir jūsų bendrovę </w:t>
      </w:r>
    </w:p>
    <w:p w:rsidR="00AF6BC9" w:rsidRPr="00986029" w:rsidRDefault="00AF6BC9" w:rsidP="00AF6BC9">
      <w:pPr>
        <w:pStyle w:val="Numbering"/>
        <w:numPr>
          <w:ilvl w:val="0"/>
          <w:numId w:val="0"/>
        </w:numPr>
      </w:pPr>
      <w:r w:rsidRPr="00986029">
        <w:t>Šiame skyriuje užduodami keli pagrindiniai klausimai apie jūsų bendrovę.  Prašome į šį klausimyną atsakyti iš jūsų juridinio asmens perspektyvos, išskyrus tuos atvejus, kai su cheminių medžiagų teisės aktais susijusi veikla yra centralizuota jūsų įmonių grupėje</w:t>
      </w:r>
      <w:r w:rsidR="007B4CE7">
        <w:t>.</w:t>
      </w:r>
      <w:bookmarkStart w:id="0" w:name="_GoBack"/>
      <w:bookmarkEnd w:id="0"/>
      <w:r w:rsidRPr="00986029">
        <w:t xml:space="preserve"> Jei veikla centralizuota, prašome atsakyti grupės mastu.  </w:t>
      </w:r>
    </w:p>
    <w:p w:rsidR="00C2037E" w:rsidRPr="00986029" w:rsidRDefault="00C2037E" w:rsidP="00AF6BC9">
      <w:pPr>
        <w:pStyle w:val="Numbering"/>
        <w:spacing w:after="240"/>
        <w:ind w:left="357" w:hanging="357"/>
      </w:pPr>
      <w:r w:rsidRPr="00986029">
        <w:t>Kurioje šalyje esate įsisteigę?</w:t>
      </w:r>
    </w:p>
    <w:tbl>
      <w:tblPr>
        <w:tblStyle w:val="TableGrid"/>
        <w:tblW w:w="0" w:type="auto"/>
        <w:tblInd w:w="108" w:type="dxa"/>
        <w:tblLook w:val="04A0" w:firstRow="1" w:lastRow="0" w:firstColumn="1" w:lastColumn="0" w:noHBand="0" w:noVBand="1"/>
      </w:tblPr>
      <w:tblGrid>
        <w:gridCol w:w="1826"/>
        <w:gridCol w:w="1827"/>
        <w:gridCol w:w="1827"/>
        <w:gridCol w:w="1827"/>
        <w:gridCol w:w="1827"/>
      </w:tblGrid>
      <w:tr w:rsidR="00C2037E" w:rsidRPr="00986029" w:rsidTr="00C2037E">
        <w:tc>
          <w:tcPr>
            <w:tcW w:w="1826" w:type="dxa"/>
          </w:tcPr>
          <w:p w:rsidR="00C2037E" w:rsidRPr="00986029" w:rsidRDefault="00C2037E" w:rsidP="00C2037E">
            <w:pPr>
              <w:pStyle w:val="Numbering"/>
              <w:numPr>
                <w:ilvl w:val="0"/>
                <w:numId w:val="0"/>
              </w:numPr>
              <w:spacing w:before="0"/>
              <w:rPr>
                <w:sz w:val="20"/>
              </w:rPr>
            </w:pPr>
            <w:r w:rsidRPr="00986029">
              <w:rPr>
                <w:sz w:val="20"/>
              </w:rPr>
              <w:t>Austrijoje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Danijoje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Vengrijoje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Мaltoje</w:t>
            </w:r>
          </w:p>
        </w:tc>
        <w:tc>
          <w:tcPr>
            <w:tcW w:w="1827" w:type="dxa"/>
          </w:tcPr>
          <w:p w:rsidR="00C2037E" w:rsidRPr="00986029" w:rsidRDefault="00C2037E" w:rsidP="00C2037E">
            <w:pPr>
              <w:pStyle w:val="Numbering"/>
              <w:numPr>
                <w:ilvl w:val="0"/>
                <w:numId w:val="0"/>
              </w:numPr>
              <w:spacing w:before="0"/>
              <w:rPr>
                <w:sz w:val="20"/>
              </w:rPr>
            </w:pPr>
            <w:r w:rsidRPr="00986029">
              <w:rPr>
                <w:sz w:val="20"/>
              </w:rPr>
              <w:t>Slovėnijoje</w:t>
            </w:r>
          </w:p>
        </w:tc>
      </w:tr>
      <w:tr w:rsidR="00C2037E" w:rsidRPr="00986029" w:rsidTr="00C2037E">
        <w:tc>
          <w:tcPr>
            <w:tcW w:w="1826" w:type="dxa"/>
          </w:tcPr>
          <w:p w:rsidR="00C2037E" w:rsidRPr="00986029" w:rsidRDefault="00C2037E" w:rsidP="00C2037E">
            <w:pPr>
              <w:pStyle w:val="Numbering"/>
              <w:numPr>
                <w:ilvl w:val="0"/>
                <w:numId w:val="0"/>
              </w:numPr>
              <w:spacing w:before="0"/>
              <w:rPr>
                <w:sz w:val="20"/>
              </w:rPr>
            </w:pPr>
            <w:r w:rsidRPr="00986029">
              <w:rPr>
                <w:sz w:val="20"/>
              </w:rPr>
              <w:t>Belgijoje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Estijoje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Airijoje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Nyderlanduose</w:t>
            </w:r>
          </w:p>
        </w:tc>
        <w:tc>
          <w:tcPr>
            <w:tcW w:w="1827" w:type="dxa"/>
          </w:tcPr>
          <w:p w:rsidR="00C2037E" w:rsidRPr="00986029" w:rsidRDefault="00C2037E" w:rsidP="00C2037E">
            <w:pPr>
              <w:pStyle w:val="Numbering"/>
              <w:numPr>
                <w:ilvl w:val="0"/>
                <w:numId w:val="0"/>
              </w:numPr>
              <w:spacing w:before="0"/>
              <w:rPr>
                <w:sz w:val="20"/>
              </w:rPr>
            </w:pPr>
            <w:r w:rsidRPr="00986029">
              <w:rPr>
                <w:sz w:val="20"/>
              </w:rPr>
              <w:t>Ispanijoje</w:t>
            </w:r>
          </w:p>
        </w:tc>
      </w:tr>
      <w:tr w:rsidR="00C2037E" w:rsidRPr="00986029" w:rsidTr="00C2037E">
        <w:tc>
          <w:tcPr>
            <w:tcW w:w="1826" w:type="dxa"/>
          </w:tcPr>
          <w:p w:rsidR="00C2037E" w:rsidRPr="00986029" w:rsidRDefault="00C2037E" w:rsidP="00C2037E">
            <w:pPr>
              <w:pStyle w:val="Numbering"/>
              <w:numPr>
                <w:ilvl w:val="0"/>
                <w:numId w:val="0"/>
              </w:numPr>
              <w:spacing w:before="0"/>
              <w:rPr>
                <w:sz w:val="20"/>
              </w:rPr>
            </w:pPr>
            <w:r w:rsidRPr="00986029">
              <w:rPr>
                <w:sz w:val="20"/>
              </w:rPr>
              <w:t>Bulgarijoje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Suomijoje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Italijoje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Lenkijoje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Švedijoje</w:t>
            </w:r>
          </w:p>
        </w:tc>
      </w:tr>
      <w:tr w:rsidR="00C2037E" w:rsidRPr="00986029" w:rsidTr="00C2037E">
        <w:tc>
          <w:tcPr>
            <w:tcW w:w="1826" w:type="dxa"/>
          </w:tcPr>
          <w:p w:rsidR="00C2037E" w:rsidRPr="00986029" w:rsidRDefault="00C2037E" w:rsidP="00C2037E">
            <w:pPr>
              <w:pStyle w:val="Numbering"/>
              <w:numPr>
                <w:ilvl w:val="0"/>
                <w:numId w:val="0"/>
              </w:numPr>
              <w:spacing w:before="0"/>
              <w:rPr>
                <w:sz w:val="20"/>
              </w:rPr>
            </w:pPr>
            <w:r w:rsidRPr="00986029">
              <w:rPr>
                <w:sz w:val="20"/>
              </w:rPr>
              <w:t xml:space="preserve">Kroatijoje </w:t>
            </w:r>
          </w:p>
        </w:tc>
        <w:tc>
          <w:tcPr>
            <w:tcW w:w="1827" w:type="dxa"/>
          </w:tcPr>
          <w:p w:rsidR="00C2037E" w:rsidRPr="00986029" w:rsidRDefault="00C2037E" w:rsidP="00C2037E">
            <w:pPr>
              <w:pStyle w:val="Numbering"/>
              <w:numPr>
                <w:ilvl w:val="0"/>
                <w:numId w:val="0"/>
              </w:numPr>
              <w:spacing w:before="0"/>
              <w:rPr>
                <w:sz w:val="20"/>
              </w:rPr>
            </w:pPr>
            <w:r w:rsidRPr="00986029">
              <w:rPr>
                <w:sz w:val="20"/>
              </w:rPr>
              <w:t>Prancūzijoje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Latvijoje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Portugalijoje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Jungtinėje Karalystėje</w:t>
            </w:r>
          </w:p>
        </w:tc>
      </w:tr>
      <w:tr w:rsidR="00C2037E" w:rsidRPr="00986029" w:rsidTr="00C2037E">
        <w:tc>
          <w:tcPr>
            <w:tcW w:w="1826" w:type="dxa"/>
          </w:tcPr>
          <w:p w:rsidR="00C2037E" w:rsidRPr="00986029" w:rsidRDefault="00C2037E" w:rsidP="00C2037E">
            <w:pPr>
              <w:pStyle w:val="Numbering"/>
              <w:numPr>
                <w:ilvl w:val="0"/>
                <w:numId w:val="0"/>
              </w:numPr>
              <w:spacing w:before="0"/>
              <w:rPr>
                <w:sz w:val="20"/>
              </w:rPr>
            </w:pPr>
            <w:r w:rsidRPr="00986029">
              <w:rPr>
                <w:sz w:val="20"/>
              </w:rPr>
              <w:t>Kipre</w:t>
            </w:r>
          </w:p>
        </w:tc>
        <w:tc>
          <w:tcPr>
            <w:tcW w:w="1827" w:type="dxa"/>
          </w:tcPr>
          <w:p w:rsidR="00C2037E" w:rsidRPr="00986029" w:rsidRDefault="00C2037E" w:rsidP="00C2037E">
            <w:pPr>
              <w:pStyle w:val="Numbering"/>
              <w:numPr>
                <w:ilvl w:val="0"/>
                <w:numId w:val="0"/>
              </w:numPr>
              <w:spacing w:before="0"/>
              <w:rPr>
                <w:sz w:val="20"/>
              </w:rPr>
            </w:pPr>
            <w:r w:rsidRPr="00986029">
              <w:rPr>
                <w:sz w:val="20"/>
              </w:rPr>
              <w:t>Vokietijoje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Lietuvoje</w:t>
            </w:r>
          </w:p>
        </w:tc>
        <w:tc>
          <w:tcPr>
            <w:tcW w:w="1827" w:type="dxa"/>
          </w:tcPr>
          <w:p w:rsidR="00C2037E" w:rsidRPr="00986029" w:rsidRDefault="00C2037E" w:rsidP="00C2037E">
            <w:pPr>
              <w:pStyle w:val="Numbering"/>
              <w:numPr>
                <w:ilvl w:val="0"/>
                <w:numId w:val="0"/>
              </w:numPr>
              <w:spacing w:before="0"/>
              <w:rPr>
                <w:sz w:val="20"/>
              </w:rPr>
            </w:pPr>
            <w:r w:rsidRPr="00986029">
              <w:rPr>
                <w:sz w:val="20"/>
              </w:rPr>
              <w:t>Rumunijoje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Kitoje</w:t>
            </w:r>
          </w:p>
        </w:tc>
      </w:tr>
      <w:tr w:rsidR="00C2037E" w:rsidRPr="00986029" w:rsidTr="00C2037E">
        <w:tc>
          <w:tcPr>
            <w:tcW w:w="1826" w:type="dxa"/>
          </w:tcPr>
          <w:p w:rsidR="00C2037E" w:rsidRPr="00986029" w:rsidRDefault="00C2037E" w:rsidP="00C2037E">
            <w:pPr>
              <w:pStyle w:val="Numbering"/>
              <w:numPr>
                <w:ilvl w:val="0"/>
                <w:numId w:val="0"/>
              </w:numPr>
              <w:spacing w:before="0"/>
              <w:rPr>
                <w:sz w:val="20"/>
              </w:rPr>
            </w:pPr>
            <w:r w:rsidRPr="00986029">
              <w:rPr>
                <w:sz w:val="20"/>
              </w:rPr>
              <w:t>Čekijoje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Graikijoje</w:t>
            </w:r>
          </w:p>
        </w:tc>
        <w:tc>
          <w:tcPr>
            <w:tcW w:w="1827" w:type="dxa"/>
          </w:tcPr>
          <w:p w:rsidR="00C2037E" w:rsidRPr="00986029" w:rsidRDefault="00C2037E" w:rsidP="00C2037E">
            <w:pPr>
              <w:pStyle w:val="Numbering"/>
              <w:numPr>
                <w:ilvl w:val="0"/>
                <w:numId w:val="0"/>
              </w:numPr>
              <w:spacing w:before="0"/>
              <w:rPr>
                <w:sz w:val="20"/>
              </w:rPr>
            </w:pPr>
            <w:r w:rsidRPr="00986029">
              <w:rPr>
                <w:sz w:val="20"/>
              </w:rPr>
              <w:t>Liuksemburge</w:t>
            </w:r>
          </w:p>
        </w:tc>
        <w:tc>
          <w:tcPr>
            <w:tcW w:w="1827" w:type="dxa"/>
          </w:tcPr>
          <w:p w:rsidR="00C2037E" w:rsidRPr="00986029" w:rsidRDefault="00C2037E" w:rsidP="00C2037E">
            <w:pPr>
              <w:pStyle w:val="Numbering"/>
              <w:numPr>
                <w:ilvl w:val="0"/>
                <w:numId w:val="0"/>
              </w:numPr>
              <w:spacing w:before="0"/>
              <w:rPr>
                <w:sz w:val="20"/>
              </w:rPr>
            </w:pPr>
            <w:r w:rsidRPr="00986029">
              <w:rPr>
                <w:sz w:val="20"/>
              </w:rPr>
              <w:t>Slovakijoje</w:t>
            </w:r>
          </w:p>
        </w:tc>
        <w:tc>
          <w:tcPr>
            <w:tcW w:w="1827" w:type="dxa"/>
          </w:tcPr>
          <w:p w:rsidR="00C2037E" w:rsidRPr="00986029" w:rsidRDefault="00C2037E" w:rsidP="00C2037E">
            <w:pPr>
              <w:pStyle w:val="Numbering"/>
              <w:numPr>
                <w:ilvl w:val="0"/>
                <w:numId w:val="0"/>
              </w:numPr>
              <w:spacing w:before="0"/>
              <w:rPr>
                <w:sz w:val="20"/>
              </w:rPr>
            </w:pPr>
          </w:p>
        </w:tc>
      </w:tr>
    </w:tbl>
    <w:p w:rsidR="00CE09D1" w:rsidRPr="00986029" w:rsidRDefault="00CE09D1" w:rsidP="00AF6BC9">
      <w:pPr>
        <w:pStyle w:val="Numbering"/>
        <w:spacing w:after="240"/>
        <w:ind w:left="357" w:hanging="357"/>
      </w:pPr>
      <w:r w:rsidRPr="00986029">
        <w:t>Neskaičiuojant šalies, kurioje yra įsisteigusi jūsų bendrovė, kiek Europos Sąjungos šalių nuolat parduodate savo produktus ir (arba) teikiate paslaugas?</w:t>
      </w:r>
    </w:p>
    <w:tbl>
      <w:tblPr>
        <w:tblStyle w:val="TableGrid"/>
        <w:tblW w:w="4942" w:type="pct"/>
        <w:tblInd w:w="108" w:type="dxa"/>
        <w:tblLook w:val="04A0" w:firstRow="1" w:lastRow="0" w:firstColumn="1" w:lastColumn="0" w:noHBand="0" w:noVBand="1"/>
      </w:tblPr>
      <w:tblGrid>
        <w:gridCol w:w="3416"/>
        <w:gridCol w:w="5719"/>
      </w:tblGrid>
      <w:tr w:rsidR="00780C2E" w:rsidRPr="00986029" w:rsidTr="00E23C77">
        <w:trPr>
          <w:trHeight w:val="113"/>
        </w:trPr>
        <w:tc>
          <w:tcPr>
            <w:tcW w:w="1870" w:type="pct"/>
            <w:shd w:val="clear" w:color="auto" w:fill="569BBE"/>
          </w:tcPr>
          <w:p w:rsidR="00780C2E" w:rsidRPr="00986029" w:rsidRDefault="00780C2E" w:rsidP="00CE09D1">
            <w:pPr>
              <w:pStyle w:val="Numbering"/>
              <w:numPr>
                <w:ilvl w:val="0"/>
                <w:numId w:val="0"/>
              </w:numPr>
              <w:spacing w:before="0"/>
              <w:rPr>
                <w:b/>
                <w:color w:val="FFFFFF" w:themeColor="background1"/>
                <w:sz w:val="20"/>
                <w:szCs w:val="20"/>
              </w:rPr>
            </w:pPr>
          </w:p>
        </w:tc>
        <w:tc>
          <w:tcPr>
            <w:tcW w:w="3130" w:type="pct"/>
          </w:tcPr>
          <w:p w:rsidR="00780C2E" w:rsidRPr="00986029" w:rsidRDefault="00780C2E" w:rsidP="00CE09D1">
            <w:pPr>
              <w:pStyle w:val="Numbering"/>
              <w:numPr>
                <w:ilvl w:val="0"/>
                <w:numId w:val="0"/>
              </w:numPr>
              <w:spacing w:before="0"/>
              <w:rPr>
                <w:sz w:val="20"/>
                <w:szCs w:val="20"/>
              </w:rPr>
            </w:pPr>
            <w:r w:rsidRPr="00986029">
              <w:rPr>
                <w:sz w:val="20"/>
              </w:rPr>
              <w:t>Pažymėkite varnele</w:t>
            </w:r>
          </w:p>
        </w:tc>
      </w:tr>
      <w:tr w:rsidR="00CE09D1" w:rsidRPr="00986029" w:rsidTr="00E23C77">
        <w:trPr>
          <w:trHeight w:val="113"/>
        </w:trPr>
        <w:tc>
          <w:tcPr>
            <w:tcW w:w="1870" w:type="pct"/>
            <w:shd w:val="clear" w:color="auto" w:fill="569BBE"/>
          </w:tcPr>
          <w:p w:rsidR="00CE09D1" w:rsidRPr="00986029" w:rsidRDefault="00986029" w:rsidP="00CE09D1">
            <w:pPr>
              <w:pStyle w:val="Numbering"/>
              <w:numPr>
                <w:ilvl w:val="0"/>
                <w:numId w:val="0"/>
              </w:numPr>
              <w:spacing w:before="0"/>
              <w:rPr>
                <w:b/>
                <w:color w:val="FFFFFF" w:themeColor="background1"/>
                <w:sz w:val="20"/>
                <w:szCs w:val="20"/>
              </w:rPr>
            </w:pPr>
            <w:r w:rsidRPr="00986029">
              <w:rPr>
                <w:b/>
                <w:color w:val="FFFFFF" w:themeColor="background1"/>
                <w:sz w:val="20"/>
              </w:rPr>
              <w:t>Nė vienoje</w:t>
            </w:r>
          </w:p>
        </w:tc>
        <w:tc>
          <w:tcPr>
            <w:tcW w:w="3130" w:type="pct"/>
          </w:tcPr>
          <w:p w:rsidR="00CE09D1" w:rsidRPr="00986029" w:rsidRDefault="00CE09D1" w:rsidP="00CE09D1">
            <w:pPr>
              <w:pStyle w:val="Numbering"/>
              <w:numPr>
                <w:ilvl w:val="0"/>
                <w:numId w:val="0"/>
              </w:numPr>
              <w:spacing w:before="0"/>
              <w:rPr>
                <w:sz w:val="20"/>
                <w:szCs w:val="20"/>
              </w:rPr>
            </w:pPr>
          </w:p>
        </w:tc>
      </w:tr>
      <w:tr w:rsidR="00CE09D1" w:rsidRPr="00986029" w:rsidTr="00E23C77">
        <w:tc>
          <w:tcPr>
            <w:tcW w:w="1870" w:type="pct"/>
            <w:shd w:val="clear" w:color="auto" w:fill="569BBE"/>
          </w:tcPr>
          <w:p w:rsidR="00CE09D1" w:rsidRPr="00986029" w:rsidRDefault="00CE09D1" w:rsidP="00CE09D1">
            <w:pPr>
              <w:pStyle w:val="Numbering"/>
              <w:numPr>
                <w:ilvl w:val="0"/>
                <w:numId w:val="0"/>
              </w:numPr>
              <w:spacing w:before="0"/>
              <w:rPr>
                <w:b/>
                <w:color w:val="FFFFFF" w:themeColor="background1"/>
                <w:sz w:val="20"/>
                <w:szCs w:val="20"/>
              </w:rPr>
            </w:pPr>
            <w:r w:rsidRPr="00986029">
              <w:rPr>
                <w:b/>
                <w:color w:val="FFFFFF" w:themeColor="background1"/>
                <w:sz w:val="20"/>
              </w:rPr>
              <w:t>1</w:t>
            </w:r>
          </w:p>
        </w:tc>
        <w:tc>
          <w:tcPr>
            <w:tcW w:w="3130" w:type="pct"/>
          </w:tcPr>
          <w:p w:rsidR="00CE09D1" w:rsidRPr="00986029" w:rsidRDefault="00CE09D1" w:rsidP="00CE09D1">
            <w:pPr>
              <w:pStyle w:val="Numbering"/>
              <w:numPr>
                <w:ilvl w:val="0"/>
                <w:numId w:val="0"/>
              </w:numPr>
              <w:spacing w:before="0"/>
              <w:rPr>
                <w:sz w:val="20"/>
                <w:szCs w:val="20"/>
              </w:rPr>
            </w:pPr>
          </w:p>
        </w:tc>
      </w:tr>
      <w:tr w:rsidR="00CE09D1" w:rsidRPr="00986029" w:rsidTr="00E23C77">
        <w:tc>
          <w:tcPr>
            <w:tcW w:w="1870" w:type="pct"/>
            <w:shd w:val="clear" w:color="auto" w:fill="569BBE"/>
          </w:tcPr>
          <w:p w:rsidR="00CE09D1" w:rsidRPr="00986029" w:rsidRDefault="00CE09D1" w:rsidP="00CE09D1">
            <w:pPr>
              <w:pStyle w:val="Numbering"/>
              <w:numPr>
                <w:ilvl w:val="0"/>
                <w:numId w:val="0"/>
              </w:numPr>
              <w:spacing w:before="0"/>
              <w:rPr>
                <w:b/>
                <w:color w:val="FFFFFF" w:themeColor="background1"/>
                <w:sz w:val="20"/>
                <w:szCs w:val="20"/>
              </w:rPr>
            </w:pPr>
            <w:r w:rsidRPr="00986029">
              <w:rPr>
                <w:b/>
                <w:color w:val="FFFFFF" w:themeColor="background1"/>
                <w:sz w:val="20"/>
              </w:rPr>
              <w:t>2</w:t>
            </w:r>
          </w:p>
        </w:tc>
        <w:tc>
          <w:tcPr>
            <w:tcW w:w="3130" w:type="pct"/>
          </w:tcPr>
          <w:p w:rsidR="00CE09D1" w:rsidRPr="00986029" w:rsidRDefault="00CE09D1" w:rsidP="00CE09D1">
            <w:pPr>
              <w:pStyle w:val="Numbering"/>
              <w:numPr>
                <w:ilvl w:val="0"/>
                <w:numId w:val="0"/>
              </w:numPr>
              <w:spacing w:before="0"/>
              <w:rPr>
                <w:sz w:val="20"/>
                <w:szCs w:val="20"/>
              </w:rPr>
            </w:pPr>
          </w:p>
        </w:tc>
      </w:tr>
      <w:tr w:rsidR="00CE09D1" w:rsidRPr="00986029" w:rsidTr="00E23C77">
        <w:tc>
          <w:tcPr>
            <w:tcW w:w="1870" w:type="pct"/>
            <w:shd w:val="clear" w:color="auto" w:fill="569BBE"/>
          </w:tcPr>
          <w:p w:rsidR="00CE09D1" w:rsidRPr="00986029" w:rsidRDefault="00CE09D1" w:rsidP="00CE09D1">
            <w:pPr>
              <w:pStyle w:val="Numbering"/>
              <w:numPr>
                <w:ilvl w:val="0"/>
                <w:numId w:val="0"/>
              </w:numPr>
              <w:spacing w:before="0"/>
              <w:rPr>
                <w:b/>
                <w:color w:val="FFFFFF" w:themeColor="background1"/>
                <w:sz w:val="20"/>
                <w:szCs w:val="20"/>
              </w:rPr>
            </w:pPr>
            <w:r w:rsidRPr="00986029">
              <w:rPr>
                <w:b/>
                <w:color w:val="FFFFFF" w:themeColor="background1"/>
                <w:sz w:val="20"/>
              </w:rPr>
              <w:t>3</w:t>
            </w:r>
          </w:p>
        </w:tc>
        <w:tc>
          <w:tcPr>
            <w:tcW w:w="3130" w:type="pct"/>
          </w:tcPr>
          <w:p w:rsidR="00CE09D1" w:rsidRPr="00986029" w:rsidRDefault="00CE09D1" w:rsidP="00CE09D1">
            <w:pPr>
              <w:pStyle w:val="Numbering"/>
              <w:numPr>
                <w:ilvl w:val="0"/>
                <w:numId w:val="0"/>
              </w:numPr>
              <w:spacing w:before="0"/>
              <w:rPr>
                <w:sz w:val="20"/>
                <w:szCs w:val="20"/>
              </w:rPr>
            </w:pPr>
          </w:p>
        </w:tc>
      </w:tr>
      <w:tr w:rsidR="00CE09D1" w:rsidRPr="00986029" w:rsidTr="00E23C77">
        <w:tc>
          <w:tcPr>
            <w:tcW w:w="1870" w:type="pct"/>
            <w:shd w:val="clear" w:color="auto" w:fill="569BBE"/>
          </w:tcPr>
          <w:p w:rsidR="00CE09D1" w:rsidRPr="00986029" w:rsidRDefault="00CE09D1" w:rsidP="00CE09D1">
            <w:pPr>
              <w:pStyle w:val="Numbering"/>
              <w:numPr>
                <w:ilvl w:val="0"/>
                <w:numId w:val="0"/>
              </w:numPr>
              <w:spacing w:before="0"/>
              <w:rPr>
                <w:b/>
                <w:color w:val="FFFFFF" w:themeColor="background1"/>
                <w:sz w:val="20"/>
                <w:szCs w:val="20"/>
              </w:rPr>
            </w:pPr>
            <w:r w:rsidRPr="00986029">
              <w:rPr>
                <w:b/>
                <w:color w:val="FFFFFF" w:themeColor="background1"/>
                <w:sz w:val="20"/>
              </w:rPr>
              <w:t>4</w:t>
            </w:r>
          </w:p>
        </w:tc>
        <w:tc>
          <w:tcPr>
            <w:tcW w:w="3130" w:type="pct"/>
          </w:tcPr>
          <w:p w:rsidR="00CE09D1" w:rsidRPr="00986029" w:rsidRDefault="00CE09D1" w:rsidP="00CE09D1">
            <w:pPr>
              <w:pStyle w:val="Numbering"/>
              <w:numPr>
                <w:ilvl w:val="0"/>
                <w:numId w:val="0"/>
              </w:numPr>
              <w:spacing w:before="0"/>
              <w:rPr>
                <w:sz w:val="20"/>
                <w:szCs w:val="20"/>
              </w:rPr>
            </w:pPr>
          </w:p>
        </w:tc>
      </w:tr>
      <w:tr w:rsidR="00CE09D1" w:rsidRPr="00986029" w:rsidTr="00E23C77">
        <w:tc>
          <w:tcPr>
            <w:tcW w:w="1870" w:type="pct"/>
            <w:shd w:val="clear" w:color="auto" w:fill="569BBE"/>
          </w:tcPr>
          <w:p w:rsidR="00CE09D1" w:rsidRPr="00986029" w:rsidRDefault="00CE09D1" w:rsidP="00CE09D1">
            <w:pPr>
              <w:pStyle w:val="Numbering"/>
              <w:numPr>
                <w:ilvl w:val="0"/>
                <w:numId w:val="0"/>
              </w:numPr>
              <w:spacing w:before="0"/>
              <w:rPr>
                <w:b/>
                <w:color w:val="FFFFFF" w:themeColor="background1"/>
                <w:sz w:val="20"/>
                <w:szCs w:val="20"/>
              </w:rPr>
            </w:pPr>
            <w:r w:rsidRPr="00986029">
              <w:rPr>
                <w:b/>
                <w:color w:val="FFFFFF" w:themeColor="background1"/>
                <w:sz w:val="20"/>
              </w:rPr>
              <w:t>5 arba daugiau</w:t>
            </w:r>
          </w:p>
        </w:tc>
        <w:tc>
          <w:tcPr>
            <w:tcW w:w="3130" w:type="pct"/>
          </w:tcPr>
          <w:p w:rsidR="00CE09D1" w:rsidRPr="00986029" w:rsidRDefault="00CE09D1" w:rsidP="00CE09D1">
            <w:pPr>
              <w:pStyle w:val="Numbering"/>
              <w:numPr>
                <w:ilvl w:val="0"/>
                <w:numId w:val="0"/>
              </w:numPr>
              <w:spacing w:before="0"/>
              <w:rPr>
                <w:sz w:val="20"/>
                <w:szCs w:val="20"/>
              </w:rPr>
            </w:pPr>
          </w:p>
        </w:tc>
      </w:tr>
    </w:tbl>
    <w:p w:rsidR="002213E9" w:rsidRPr="00986029" w:rsidDel="007404EA" w:rsidRDefault="00AF6BC9" w:rsidP="00F90146">
      <w:pPr>
        <w:pStyle w:val="Numbering"/>
        <w:spacing w:after="240"/>
        <w:ind w:left="357" w:hanging="357"/>
        <w:jc w:val="left"/>
      </w:pPr>
      <w:r w:rsidRPr="00986029">
        <w:t xml:space="preserve">Nurodykite, kuris iš toliau nurodytų dydžių geriausiai apibūdina kokio dydžio yra jūsų bendrovė ar jūsų bendrovių grupė?  </w:t>
      </w:r>
      <w:r w:rsidRPr="00986029">
        <w:br/>
      </w:r>
    </w:p>
    <w:tbl>
      <w:tblPr>
        <w:tblStyle w:val="TableGrid"/>
        <w:tblW w:w="5000" w:type="pct"/>
        <w:tblInd w:w="108" w:type="dxa"/>
        <w:tblLook w:val="04A0" w:firstRow="1" w:lastRow="0" w:firstColumn="1" w:lastColumn="0" w:noHBand="0" w:noVBand="1"/>
      </w:tblPr>
      <w:tblGrid>
        <w:gridCol w:w="2256"/>
        <w:gridCol w:w="3493"/>
        <w:gridCol w:w="3493"/>
      </w:tblGrid>
      <w:tr w:rsidR="00644D97" w:rsidRPr="00986029" w:rsidTr="00372620">
        <w:trPr>
          <w:trHeight w:val="113"/>
        </w:trPr>
        <w:tc>
          <w:tcPr>
            <w:tcW w:w="1220" w:type="pct"/>
            <w:shd w:val="clear" w:color="auto" w:fill="569BBE"/>
          </w:tcPr>
          <w:p w:rsidR="00644D97" w:rsidRPr="00986029" w:rsidRDefault="000F7DA4" w:rsidP="00B05C49">
            <w:pPr>
              <w:pStyle w:val="Numbering"/>
              <w:numPr>
                <w:ilvl w:val="0"/>
                <w:numId w:val="0"/>
              </w:numPr>
              <w:spacing w:before="0"/>
              <w:rPr>
                <w:b/>
                <w:color w:val="FFFFFF" w:themeColor="background1"/>
                <w:sz w:val="20"/>
                <w:szCs w:val="20"/>
              </w:rPr>
            </w:pPr>
            <w:r w:rsidRPr="00986029">
              <w:rPr>
                <w:sz w:val="20"/>
              </w:rPr>
              <w:t>Pažymėkite varnele</w:t>
            </w:r>
          </w:p>
        </w:tc>
        <w:tc>
          <w:tcPr>
            <w:tcW w:w="1890" w:type="pct"/>
          </w:tcPr>
          <w:p w:rsidR="00644D97" w:rsidRPr="00986029" w:rsidRDefault="000F7DA4" w:rsidP="00B05C49">
            <w:pPr>
              <w:pStyle w:val="Numbering"/>
              <w:numPr>
                <w:ilvl w:val="0"/>
                <w:numId w:val="0"/>
              </w:numPr>
              <w:spacing w:before="0"/>
              <w:rPr>
                <w:sz w:val="20"/>
                <w:szCs w:val="20"/>
              </w:rPr>
            </w:pPr>
            <w:r w:rsidRPr="00986029">
              <w:rPr>
                <w:sz w:val="20"/>
              </w:rPr>
              <w:t>Bendrovė</w:t>
            </w:r>
          </w:p>
        </w:tc>
        <w:tc>
          <w:tcPr>
            <w:tcW w:w="1890" w:type="pct"/>
          </w:tcPr>
          <w:p w:rsidR="00644D97" w:rsidRPr="00986029" w:rsidRDefault="000F7DA4" w:rsidP="00B05C49">
            <w:pPr>
              <w:pStyle w:val="Numbering"/>
              <w:numPr>
                <w:ilvl w:val="0"/>
                <w:numId w:val="0"/>
              </w:numPr>
              <w:spacing w:before="0"/>
              <w:rPr>
                <w:sz w:val="20"/>
                <w:szCs w:val="20"/>
              </w:rPr>
            </w:pPr>
            <w:r w:rsidRPr="00986029">
              <w:rPr>
                <w:sz w:val="20"/>
              </w:rPr>
              <w:t>Grupė</w:t>
            </w:r>
          </w:p>
        </w:tc>
      </w:tr>
      <w:tr w:rsidR="00644D97" w:rsidRPr="00986029" w:rsidTr="00372620">
        <w:trPr>
          <w:trHeight w:val="113"/>
        </w:trPr>
        <w:tc>
          <w:tcPr>
            <w:tcW w:w="1220" w:type="pct"/>
            <w:shd w:val="clear" w:color="auto" w:fill="569BBE"/>
          </w:tcPr>
          <w:p w:rsidR="00644D97" w:rsidRPr="00986029" w:rsidRDefault="000F7DA4" w:rsidP="00B05C49">
            <w:pPr>
              <w:pStyle w:val="Numbering"/>
              <w:numPr>
                <w:ilvl w:val="0"/>
                <w:numId w:val="0"/>
              </w:numPr>
              <w:spacing w:before="0"/>
              <w:rPr>
                <w:b/>
                <w:color w:val="FFFFFF" w:themeColor="background1"/>
                <w:sz w:val="20"/>
                <w:szCs w:val="20"/>
              </w:rPr>
            </w:pPr>
            <w:r w:rsidRPr="00986029">
              <w:rPr>
                <w:b/>
                <w:color w:val="FFFFFF" w:themeColor="background1"/>
                <w:sz w:val="20"/>
              </w:rPr>
              <w:t>Savarankiškai dirbantis asmuo</w:t>
            </w:r>
          </w:p>
        </w:tc>
        <w:tc>
          <w:tcPr>
            <w:tcW w:w="1890" w:type="pct"/>
          </w:tcPr>
          <w:p w:rsidR="00644D97" w:rsidRPr="00986029" w:rsidRDefault="00644D97" w:rsidP="00B05C49">
            <w:pPr>
              <w:pStyle w:val="Numbering"/>
              <w:numPr>
                <w:ilvl w:val="0"/>
                <w:numId w:val="0"/>
              </w:numPr>
              <w:spacing w:before="0"/>
              <w:rPr>
                <w:sz w:val="20"/>
                <w:szCs w:val="20"/>
              </w:rPr>
            </w:pPr>
          </w:p>
        </w:tc>
        <w:tc>
          <w:tcPr>
            <w:tcW w:w="1890" w:type="pct"/>
          </w:tcPr>
          <w:p w:rsidR="00644D97" w:rsidRPr="00986029" w:rsidRDefault="00644D97" w:rsidP="00B05C49">
            <w:pPr>
              <w:pStyle w:val="Numbering"/>
              <w:numPr>
                <w:ilvl w:val="0"/>
                <w:numId w:val="0"/>
              </w:numPr>
              <w:spacing w:before="0"/>
              <w:rPr>
                <w:sz w:val="20"/>
                <w:szCs w:val="20"/>
              </w:rPr>
            </w:pPr>
          </w:p>
        </w:tc>
      </w:tr>
      <w:tr w:rsidR="00644D97" w:rsidRPr="00986029" w:rsidTr="00372620">
        <w:tc>
          <w:tcPr>
            <w:tcW w:w="1220" w:type="pct"/>
            <w:shd w:val="clear" w:color="auto" w:fill="569BBE"/>
          </w:tcPr>
          <w:p w:rsidR="00644D97" w:rsidRPr="00986029" w:rsidRDefault="000F7DA4" w:rsidP="00B05C49">
            <w:pPr>
              <w:pStyle w:val="Numbering"/>
              <w:numPr>
                <w:ilvl w:val="0"/>
                <w:numId w:val="0"/>
              </w:numPr>
              <w:spacing w:before="0"/>
              <w:rPr>
                <w:b/>
                <w:color w:val="FFFFFF" w:themeColor="background1"/>
                <w:sz w:val="20"/>
                <w:szCs w:val="20"/>
              </w:rPr>
            </w:pPr>
            <w:r w:rsidRPr="00986029">
              <w:rPr>
                <w:b/>
                <w:color w:val="FFFFFF" w:themeColor="background1"/>
                <w:sz w:val="20"/>
              </w:rPr>
              <w:t>1–9 darbuotojai</w:t>
            </w:r>
          </w:p>
        </w:tc>
        <w:tc>
          <w:tcPr>
            <w:tcW w:w="1890" w:type="pct"/>
          </w:tcPr>
          <w:p w:rsidR="00644D97" w:rsidRPr="00986029" w:rsidRDefault="00644D97" w:rsidP="00B05C49">
            <w:pPr>
              <w:pStyle w:val="Numbering"/>
              <w:numPr>
                <w:ilvl w:val="0"/>
                <w:numId w:val="0"/>
              </w:numPr>
              <w:spacing w:before="0"/>
              <w:rPr>
                <w:sz w:val="20"/>
                <w:szCs w:val="20"/>
              </w:rPr>
            </w:pPr>
          </w:p>
        </w:tc>
        <w:tc>
          <w:tcPr>
            <w:tcW w:w="1890" w:type="pct"/>
          </w:tcPr>
          <w:p w:rsidR="00644D97" w:rsidRPr="00986029" w:rsidRDefault="00644D97" w:rsidP="00B05C49">
            <w:pPr>
              <w:pStyle w:val="Numbering"/>
              <w:numPr>
                <w:ilvl w:val="0"/>
                <w:numId w:val="0"/>
              </w:numPr>
              <w:spacing w:before="0"/>
              <w:rPr>
                <w:sz w:val="20"/>
                <w:szCs w:val="20"/>
              </w:rPr>
            </w:pPr>
          </w:p>
        </w:tc>
      </w:tr>
      <w:tr w:rsidR="00644D97" w:rsidRPr="00986029" w:rsidTr="00372620">
        <w:tc>
          <w:tcPr>
            <w:tcW w:w="1220" w:type="pct"/>
            <w:shd w:val="clear" w:color="auto" w:fill="569BBE"/>
          </w:tcPr>
          <w:p w:rsidR="00644D97" w:rsidRPr="00986029" w:rsidRDefault="00644D97" w:rsidP="00B05C49">
            <w:pPr>
              <w:pStyle w:val="Numbering"/>
              <w:numPr>
                <w:ilvl w:val="0"/>
                <w:numId w:val="0"/>
              </w:numPr>
              <w:spacing w:before="0"/>
              <w:rPr>
                <w:b/>
                <w:color w:val="FFFFFF" w:themeColor="background1"/>
                <w:sz w:val="20"/>
                <w:szCs w:val="20"/>
              </w:rPr>
            </w:pPr>
            <w:r w:rsidRPr="00986029">
              <w:rPr>
                <w:b/>
                <w:color w:val="FFFFFF" w:themeColor="background1"/>
                <w:sz w:val="20"/>
              </w:rPr>
              <w:t>10–49 darbuotojai</w:t>
            </w:r>
          </w:p>
        </w:tc>
        <w:tc>
          <w:tcPr>
            <w:tcW w:w="1890" w:type="pct"/>
          </w:tcPr>
          <w:p w:rsidR="00644D97" w:rsidRPr="00986029" w:rsidRDefault="00644D97" w:rsidP="00B05C49">
            <w:pPr>
              <w:pStyle w:val="Numbering"/>
              <w:numPr>
                <w:ilvl w:val="0"/>
                <w:numId w:val="0"/>
              </w:numPr>
              <w:spacing w:before="0"/>
              <w:rPr>
                <w:sz w:val="20"/>
                <w:szCs w:val="20"/>
              </w:rPr>
            </w:pPr>
          </w:p>
        </w:tc>
        <w:tc>
          <w:tcPr>
            <w:tcW w:w="1890" w:type="pct"/>
          </w:tcPr>
          <w:p w:rsidR="00644D97" w:rsidRPr="00986029" w:rsidRDefault="00644D97" w:rsidP="00B05C49">
            <w:pPr>
              <w:pStyle w:val="Numbering"/>
              <w:numPr>
                <w:ilvl w:val="0"/>
                <w:numId w:val="0"/>
              </w:numPr>
              <w:spacing w:before="0"/>
              <w:rPr>
                <w:sz w:val="20"/>
                <w:szCs w:val="20"/>
              </w:rPr>
            </w:pPr>
          </w:p>
        </w:tc>
      </w:tr>
      <w:tr w:rsidR="00644D97" w:rsidRPr="00986029" w:rsidTr="00372620">
        <w:tc>
          <w:tcPr>
            <w:tcW w:w="1220" w:type="pct"/>
            <w:shd w:val="clear" w:color="auto" w:fill="569BBE"/>
          </w:tcPr>
          <w:p w:rsidR="00644D97" w:rsidRPr="00986029" w:rsidRDefault="00644D97" w:rsidP="00B05C49">
            <w:pPr>
              <w:pStyle w:val="Numbering"/>
              <w:numPr>
                <w:ilvl w:val="0"/>
                <w:numId w:val="0"/>
              </w:numPr>
              <w:spacing w:before="0"/>
              <w:rPr>
                <w:b/>
                <w:color w:val="FFFFFF" w:themeColor="background1"/>
                <w:sz w:val="20"/>
                <w:szCs w:val="20"/>
              </w:rPr>
            </w:pPr>
            <w:r w:rsidRPr="00986029">
              <w:rPr>
                <w:b/>
                <w:color w:val="FFFFFF" w:themeColor="background1"/>
                <w:sz w:val="20"/>
              </w:rPr>
              <w:t>50–249 darbuotojai</w:t>
            </w:r>
          </w:p>
        </w:tc>
        <w:tc>
          <w:tcPr>
            <w:tcW w:w="1890" w:type="pct"/>
          </w:tcPr>
          <w:p w:rsidR="00644D97" w:rsidRPr="00986029" w:rsidRDefault="00644D97" w:rsidP="00B05C49">
            <w:pPr>
              <w:pStyle w:val="Numbering"/>
              <w:numPr>
                <w:ilvl w:val="0"/>
                <w:numId w:val="0"/>
              </w:numPr>
              <w:spacing w:before="0"/>
              <w:rPr>
                <w:sz w:val="20"/>
                <w:szCs w:val="20"/>
              </w:rPr>
            </w:pPr>
          </w:p>
        </w:tc>
        <w:tc>
          <w:tcPr>
            <w:tcW w:w="1890" w:type="pct"/>
          </w:tcPr>
          <w:p w:rsidR="00644D97" w:rsidRPr="00986029" w:rsidRDefault="00644D97" w:rsidP="00B05C49">
            <w:pPr>
              <w:pStyle w:val="Numbering"/>
              <w:numPr>
                <w:ilvl w:val="0"/>
                <w:numId w:val="0"/>
              </w:numPr>
              <w:spacing w:before="0"/>
              <w:rPr>
                <w:sz w:val="20"/>
                <w:szCs w:val="20"/>
              </w:rPr>
            </w:pPr>
          </w:p>
        </w:tc>
      </w:tr>
      <w:tr w:rsidR="00644D97" w:rsidRPr="00986029" w:rsidTr="00372620">
        <w:tc>
          <w:tcPr>
            <w:tcW w:w="1220" w:type="pct"/>
            <w:shd w:val="clear" w:color="auto" w:fill="569BBE"/>
          </w:tcPr>
          <w:p w:rsidR="00644D97" w:rsidRPr="00986029" w:rsidRDefault="00372620" w:rsidP="00B05C49">
            <w:pPr>
              <w:pStyle w:val="Numbering"/>
              <w:numPr>
                <w:ilvl w:val="0"/>
                <w:numId w:val="0"/>
              </w:numPr>
              <w:spacing w:before="0"/>
              <w:rPr>
                <w:b/>
                <w:color w:val="FFFFFF" w:themeColor="background1"/>
                <w:sz w:val="20"/>
                <w:szCs w:val="20"/>
              </w:rPr>
            </w:pPr>
            <w:r w:rsidRPr="00986029">
              <w:rPr>
                <w:b/>
                <w:color w:val="FFFFFF" w:themeColor="background1"/>
                <w:sz w:val="20"/>
              </w:rPr>
              <w:t>250 arba daugiau darbuotojų</w:t>
            </w:r>
          </w:p>
        </w:tc>
        <w:tc>
          <w:tcPr>
            <w:tcW w:w="1890" w:type="pct"/>
          </w:tcPr>
          <w:p w:rsidR="00644D97" w:rsidRPr="00986029" w:rsidRDefault="00644D97" w:rsidP="00B05C49">
            <w:pPr>
              <w:pStyle w:val="Numbering"/>
              <w:numPr>
                <w:ilvl w:val="0"/>
                <w:numId w:val="0"/>
              </w:numPr>
              <w:spacing w:before="0"/>
              <w:rPr>
                <w:sz w:val="20"/>
                <w:szCs w:val="20"/>
              </w:rPr>
            </w:pPr>
          </w:p>
        </w:tc>
        <w:tc>
          <w:tcPr>
            <w:tcW w:w="1890" w:type="pct"/>
          </w:tcPr>
          <w:p w:rsidR="00644D97" w:rsidRPr="00986029" w:rsidRDefault="00644D97" w:rsidP="00B05C49">
            <w:pPr>
              <w:pStyle w:val="Numbering"/>
              <w:numPr>
                <w:ilvl w:val="0"/>
                <w:numId w:val="0"/>
              </w:numPr>
              <w:spacing w:before="0"/>
              <w:rPr>
                <w:sz w:val="20"/>
                <w:szCs w:val="20"/>
              </w:rPr>
            </w:pPr>
          </w:p>
        </w:tc>
      </w:tr>
      <w:tr w:rsidR="00644D97" w:rsidRPr="00986029" w:rsidTr="00372620">
        <w:tc>
          <w:tcPr>
            <w:tcW w:w="1220" w:type="pct"/>
            <w:shd w:val="clear" w:color="auto" w:fill="569BBE"/>
          </w:tcPr>
          <w:p w:rsidR="00644D97" w:rsidRPr="00986029" w:rsidRDefault="000F7DA4" w:rsidP="00B05C49">
            <w:pPr>
              <w:pStyle w:val="Numbering"/>
              <w:numPr>
                <w:ilvl w:val="0"/>
                <w:numId w:val="0"/>
              </w:numPr>
              <w:spacing w:before="0"/>
              <w:rPr>
                <w:b/>
                <w:color w:val="FFFFFF" w:themeColor="background1"/>
                <w:sz w:val="20"/>
                <w:szCs w:val="20"/>
              </w:rPr>
            </w:pPr>
            <w:r w:rsidRPr="00986029">
              <w:rPr>
                <w:b/>
                <w:color w:val="FFFFFF" w:themeColor="background1"/>
                <w:sz w:val="20"/>
              </w:rPr>
              <w:t>Netaikoma</w:t>
            </w:r>
          </w:p>
        </w:tc>
        <w:tc>
          <w:tcPr>
            <w:tcW w:w="1890" w:type="pct"/>
          </w:tcPr>
          <w:p w:rsidR="00644D97" w:rsidRPr="00986029" w:rsidRDefault="00644D97" w:rsidP="00B05C49">
            <w:pPr>
              <w:pStyle w:val="Numbering"/>
              <w:numPr>
                <w:ilvl w:val="0"/>
                <w:numId w:val="0"/>
              </w:numPr>
              <w:spacing w:before="0"/>
              <w:rPr>
                <w:sz w:val="20"/>
                <w:szCs w:val="20"/>
              </w:rPr>
            </w:pPr>
          </w:p>
        </w:tc>
        <w:tc>
          <w:tcPr>
            <w:tcW w:w="1890" w:type="pct"/>
          </w:tcPr>
          <w:p w:rsidR="00644D97" w:rsidRPr="00986029" w:rsidRDefault="00644D97" w:rsidP="00B05C49">
            <w:pPr>
              <w:pStyle w:val="Numbering"/>
              <w:numPr>
                <w:ilvl w:val="0"/>
                <w:numId w:val="0"/>
              </w:numPr>
              <w:spacing w:before="0"/>
              <w:rPr>
                <w:sz w:val="20"/>
                <w:szCs w:val="20"/>
              </w:rPr>
            </w:pPr>
          </w:p>
        </w:tc>
      </w:tr>
    </w:tbl>
    <w:p w:rsidR="00BA41D0" w:rsidRPr="00986029" w:rsidRDefault="00BA41D0" w:rsidP="0057384D">
      <w:pPr>
        <w:pStyle w:val="Numbering"/>
        <w:spacing w:after="240"/>
        <w:ind w:left="357" w:hanging="357"/>
      </w:pPr>
      <w:r w:rsidRPr="00986029">
        <w:t>Nurodykite, kuris terminas geriausiai apibūdina jūsų bendrovę ir jos veiklos sritis:</w:t>
      </w:r>
    </w:p>
    <w:tbl>
      <w:tblPr>
        <w:tblStyle w:val="TableGrid"/>
        <w:tblW w:w="0" w:type="auto"/>
        <w:tblInd w:w="108" w:type="dxa"/>
        <w:tblLook w:val="04A0" w:firstRow="1" w:lastRow="0" w:firstColumn="1" w:lastColumn="0" w:noHBand="0" w:noVBand="1"/>
      </w:tblPr>
      <w:tblGrid>
        <w:gridCol w:w="2694"/>
        <w:gridCol w:w="6440"/>
      </w:tblGrid>
      <w:tr w:rsidR="00BA41D0" w:rsidRPr="00986029" w:rsidTr="00AB64BF">
        <w:tc>
          <w:tcPr>
            <w:tcW w:w="2694" w:type="dxa"/>
            <w:shd w:val="clear" w:color="auto" w:fill="569BBE"/>
          </w:tcPr>
          <w:p w:rsidR="00BA41D0" w:rsidRPr="00986029" w:rsidRDefault="00BA41D0" w:rsidP="00D31CBE">
            <w:pPr>
              <w:pStyle w:val="Numbering"/>
              <w:numPr>
                <w:ilvl w:val="0"/>
                <w:numId w:val="0"/>
              </w:numPr>
              <w:spacing w:before="0"/>
              <w:rPr>
                <w:b/>
                <w:color w:val="FFFFFF" w:themeColor="background1"/>
                <w:sz w:val="20"/>
              </w:rPr>
            </w:pPr>
            <w:r w:rsidRPr="00986029">
              <w:rPr>
                <w:b/>
                <w:color w:val="FFFFFF" w:themeColor="background1"/>
                <w:sz w:val="20"/>
              </w:rPr>
              <w:t>Gamintojas</w:t>
            </w:r>
          </w:p>
        </w:tc>
        <w:tc>
          <w:tcPr>
            <w:tcW w:w="6440" w:type="dxa"/>
          </w:tcPr>
          <w:p w:rsidR="00BA41D0" w:rsidRPr="00986029" w:rsidRDefault="00BA41D0" w:rsidP="00D31CBE">
            <w:pPr>
              <w:pStyle w:val="Numbering"/>
              <w:numPr>
                <w:ilvl w:val="0"/>
                <w:numId w:val="0"/>
              </w:numPr>
              <w:spacing w:before="0"/>
            </w:pPr>
          </w:p>
        </w:tc>
      </w:tr>
      <w:tr w:rsidR="00BA41D0" w:rsidRPr="00986029" w:rsidTr="00AB64BF">
        <w:tc>
          <w:tcPr>
            <w:tcW w:w="2694" w:type="dxa"/>
            <w:shd w:val="clear" w:color="auto" w:fill="569BBE"/>
          </w:tcPr>
          <w:p w:rsidR="00BA41D0" w:rsidRPr="00986029" w:rsidRDefault="00BA41D0" w:rsidP="00D31CBE">
            <w:pPr>
              <w:pStyle w:val="Numbering"/>
              <w:numPr>
                <w:ilvl w:val="0"/>
                <w:numId w:val="0"/>
              </w:numPr>
              <w:spacing w:before="0"/>
              <w:rPr>
                <w:b/>
                <w:color w:val="FFFFFF" w:themeColor="background1"/>
                <w:sz w:val="20"/>
              </w:rPr>
            </w:pPr>
            <w:r w:rsidRPr="00986029">
              <w:rPr>
                <w:b/>
                <w:color w:val="FFFFFF" w:themeColor="background1"/>
                <w:sz w:val="20"/>
              </w:rPr>
              <w:t>Importuotojas</w:t>
            </w:r>
          </w:p>
        </w:tc>
        <w:tc>
          <w:tcPr>
            <w:tcW w:w="6440" w:type="dxa"/>
          </w:tcPr>
          <w:p w:rsidR="00BA41D0" w:rsidRPr="00986029" w:rsidRDefault="00BA41D0" w:rsidP="00D31CBE">
            <w:pPr>
              <w:pStyle w:val="Numbering"/>
              <w:numPr>
                <w:ilvl w:val="0"/>
                <w:numId w:val="0"/>
              </w:numPr>
              <w:spacing w:before="0"/>
            </w:pPr>
          </w:p>
        </w:tc>
      </w:tr>
      <w:tr w:rsidR="006228CC" w:rsidRPr="00986029" w:rsidTr="00087AAF">
        <w:tc>
          <w:tcPr>
            <w:tcW w:w="2694" w:type="dxa"/>
            <w:shd w:val="clear" w:color="auto" w:fill="569BBE"/>
          </w:tcPr>
          <w:p w:rsidR="006228CC" w:rsidRPr="00986029" w:rsidRDefault="006228CC" w:rsidP="00087AAF">
            <w:pPr>
              <w:pStyle w:val="Numbering"/>
              <w:numPr>
                <w:ilvl w:val="0"/>
                <w:numId w:val="0"/>
              </w:numPr>
              <w:spacing w:before="0"/>
              <w:rPr>
                <w:b/>
                <w:color w:val="FFFFFF" w:themeColor="background1"/>
                <w:sz w:val="20"/>
              </w:rPr>
            </w:pPr>
            <w:r w:rsidRPr="00986029">
              <w:rPr>
                <w:b/>
                <w:color w:val="FFFFFF" w:themeColor="background1"/>
                <w:sz w:val="20"/>
              </w:rPr>
              <w:lastRenderedPageBreak/>
              <w:t>Mišinio ruošėjas</w:t>
            </w:r>
          </w:p>
        </w:tc>
        <w:tc>
          <w:tcPr>
            <w:tcW w:w="6440" w:type="dxa"/>
          </w:tcPr>
          <w:p w:rsidR="006228CC" w:rsidRPr="00986029" w:rsidRDefault="006228CC" w:rsidP="00087AAF">
            <w:pPr>
              <w:pStyle w:val="Numbering"/>
              <w:numPr>
                <w:ilvl w:val="0"/>
                <w:numId w:val="0"/>
              </w:numPr>
              <w:spacing w:before="0"/>
            </w:pPr>
          </w:p>
        </w:tc>
      </w:tr>
      <w:tr w:rsidR="006228CC" w:rsidRPr="00986029" w:rsidTr="00087AAF">
        <w:tc>
          <w:tcPr>
            <w:tcW w:w="2694" w:type="dxa"/>
            <w:shd w:val="clear" w:color="auto" w:fill="569BBE"/>
          </w:tcPr>
          <w:p w:rsidR="006228CC" w:rsidRPr="00986029" w:rsidRDefault="006228CC" w:rsidP="00087AAF">
            <w:pPr>
              <w:pStyle w:val="Numbering"/>
              <w:numPr>
                <w:ilvl w:val="0"/>
                <w:numId w:val="0"/>
              </w:numPr>
              <w:spacing w:before="0"/>
              <w:rPr>
                <w:b/>
                <w:color w:val="FFFFFF" w:themeColor="background1"/>
                <w:sz w:val="20"/>
              </w:rPr>
            </w:pPr>
            <w:r w:rsidRPr="00986029">
              <w:rPr>
                <w:b/>
                <w:color w:val="FFFFFF" w:themeColor="background1"/>
                <w:sz w:val="20"/>
              </w:rPr>
              <w:t xml:space="preserve">Kitas tolesnis naudotojas </w:t>
            </w:r>
          </w:p>
          <w:p w:rsidR="006228CC" w:rsidRPr="00986029" w:rsidRDefault="006228CC" w:rsidP="00E356F0">
            <w:pPr>
              <w:pStyle w:val="Numbering"/>
              <w:numPr>
                <w:ilvl w:val="0"/>
                <w:numId w:val="0"/>
              </w:numPr>
              <w:spacing w:before="0"/>
              <w:rPr>
                <w:b/>
                <w:color w:val="FFFFFF" w:themeColor="background1"/>
                <w:sz w:val="20"/>
              </w:rPr>
            </w:pPr>
            <w:r w:rsidRPr="00986029">
              <w:rPr>
                <w:b/>
                <w:color w:val="FFFFFF" w:themeColor="background1"/>
                <w:sz w:val="20"/>
              </w:rPr>
              <w:t>(išskyrus mišinių ruošėjus)</w:t>
            </w:r>
          </w:p>
        </w:tc>
        <w:tc>
          <w:tcPr>
            <w:tcW w:w="6440" w:type="dxa"/>
          </w:tcPr>
          <w:p w:rsidR="006228CC" w:rsidRPr="00986029" w:rsidRDefault="006228CC" w:rsidP="00087AAF">
            <w:pPr>
              <w:pStyle w:val="Numbering"/>
              <w:numPr>
                <w:ilvl w:val="0"/>
                <w:numId w:val="0"/>
              </w:numPr>
              <w:spacing w:before="0"/>
            </w:pPr>
          </w:p>
        </w:tc>
      </w:tr>
      <w:tr w:rsidR="006228CC" w:rsidRPr="00986029" w:rsidTr="00087AAF">
        <w:tc>
          <w:tcPr>
            <w:tcW w:w="2694" w:type="dxa"/>
            <w:shd w:val="clear" w:color="auto" w:fill="569BBE"/>
          </w:tcPr>
          <w:p w:rsidR="006228CC" w:rsidRPr="00986029" w:rsidRDefault="006228CC" w:rsidP="00087AAF">
            <w:pPr>
              <w:pStyle w:val="Numbering"/>
              <w:numPr>
                <w:ilvl w:val="0"/>
                <w:numId w:val="0"/>
              </w:numPr>
              <w:spacing w:before="0"/>
              <w:rPr>
                <w:b/>
                <w:color w:val="FFFFFF" w:themeColor="background1"/>
                <w:sz w:val="20"/>
              </w:rPr>
            </w:pPr>
            <w:r w:rsidRPr="00986029">
              <w:rPr>
                <w:b/>
                <w:color w:val="FFFFFF" w:themeColor="background1"/>
                <w:sz w:val="20"/>
              </w:rPr>
              <w:t>Platintojas</w:t>
            </w:r>
          </w:p>
        </w:tc>
        <w:tc>
          <w:tcPr>
            <w:tcW w:w="6440" w:type="dxa"/>
          </w:tcPr>
          <w:p w:rsidR="006228CC" w:rsidRPr="00986029" w:rsidRDefault="006228CC" w:rsidP="00087AAF">
            <w:pPr>
              <w:pStyle w:val="Numbering"/>
              <w:numPr>
                <w:ilvl w:val="0"/>
                <w:numId w:val="0"/>
              </w:numPr>
              <w:spacing w:before="0"/>
            </w:pPr>
          </w:p>
        </w:tc>
      </w:tr>
    </w:tbl>
    <w:p w:rsidR="00AF6BC9" w:rsidRPr="00986029" w:rsidRDefault="00AF6BC9" w:rsidP="0057384D">
      <w:pPr>
        <w:pStyle w:val="Numbering"/>
        <w:spacing w:after="240"/>
        <w:ind w:left="357" w:hanging="357"/>
      </w:pPr>
      <w:r w:rsidRPr="00986029">
        <w:t>Kuriame iš šių sektorių vykdote veiklą? Pažymėkite varnele visus tinkamus atsakymus.</w:t>
      </w:r>
    </w:p>
    <w:tbl>
      <w:tblPr>
        <w:tblStyle w:val="TableGrid"/>
        <w:tblW w:w="4985" w:type="pct"/>
        <w:tblInd w:w="108" w:type="dxa"/>
        <w:tblLayout w:type="fixed"/>
        <w:tblLook w:val="04A0" w:firstRow="1" w:lastRow="0" w:firstColumn="1" w:lastColumn="0" w:noHBand="0" w:noVBand="1"/>
      </w:tblPr>
      <w:tblGrid>
        <w:gridCol w:w="3546"/>
        <w:gridCol w:w="1131"/>
        <w:gridCol w:w="3404"/>
        <w:gridCol w:w="1133"/>
      </w:tblGrid>
      <w:tr w:rsidR="00BE4198" w:rsidRPr="00986029" w:rsidTr="00A16A62">
        <w:trPr>
          <w:trHeight w:val="237"/>
        </w:trPr>
        <w:tc>
          <w:tcPr>
            <w:tcW w:w="1924" w:type="pct"/>
            <w:shd w:val="clear" w:color="auto" w:fill="569BBE"/>
            <w:vAlign w:val="center"/>
          </w:tcPr>
          <w:p w:rsidR="00BE4198" w:rsidRPr="00986029" w:rsidRDefault="00BE4198" w:rsidP="007A09D9">
            <w:pPr>
              <w:pStyle w:val="Numbering"/>
              <w:numPr>
                <w:ilvl w:val="0"/>
                <w:numId w:val="0"/>
              </w:numPr>
              <w:spacing w:before="0"/>
              <w:jc w:val="left"/>
              <w:rPr>
                <w:b/>
                <w:color w:val="FFFFFF" w:themeColor="background1"/>
                <w:sz w:val="20"/>
                <w:szCs w:val="20"/>
              </w:rPr>
            </w:pPr>
          </w:p>
        </w:tc>
        <w:tc>
          <w:tcPr>
            <w:tcW w:w="614" w:type="pct"/>
            <w:shd w:val="clear" w:color="auto" w:fill="auto"/>
            <w:vAlign w:val="center"/>
          </w:tcPr>
          <w:p w:rsidR="00BE4198" w:rsidRPr="00986029" w:rsidRDefault="00BE4198"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BE4198" w:rsidRPr="00986029" w:rsidRDefault="00BE4198" w:rsidP="00B95E7A">
            <w:pPr>
              <w:rPr>
                <w:b/>
                <w:color w:val="FFFFFF" w:themeColor="background1"/>
                <w:sz w:val="20"/>
                <w:szCs w:val="20"/>
              </w:rPr>
            </w:pPr>
          </w:p>
        </w:tc>
        <w:tc>
          <w:tcPr>
            <w:tcW w:w="615" w:type="pct"/>
            <w:shd w:val="clear" w:color="auto" w:fill="auto"/>
            <w:vAlign w:val="center"/>
          </w:tcPr>
          <w:p w:rsidR="00BE4198" w:rsidRPr="00986029" w:rsidRDefault="00BE4198"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37"/>
        </w:trPr>
        <w:tc>
          <w:tcPr>
            <w:tcW w:w="1924" w:type="pct"/>
            <w:shd w:val="clear" w:color="auto" w:fill="569BBE"/>
            <w:vAlign w:val="center"/>
          </w:tcPr>
          <w:p w:rsidR="00A16A62" w:rsidRPr="00986029" w:rsidRDefault="00A16A62" w:rsidP="007A09D9">
            <w:pPr>
              <w:pStyle w:val="Numbering"/>
              <w:numPr>
                <w:ilvl w:val="0"/>
                <w:numId w:val="0"/>
              </w:numPr>
              <w:spacing w:before="0"/>
              <w:jc w:val="left"/>
              <w:rPr>
                <w:rFonts w:ascii="Calibri" w:eastAsia="Calibri" w:hAnsi="Calibri" w:cs="Times New Roman"/>
                <w:b/>
                <w:color w:val="FFFFFF" w:themeColor="background1"/>
                <w:sz w:val="20"/>
                <w:szCs w:val="20"/>
              </w:rPr>
            </w:pPr>
            <w:r w:rsidRPr="00986029">
              <w:rPr>
                <w:b/>
                <w:color w:val="FFFFFF" w:themeColor="background1"/>
                <w:sz w:val="20"/>
              </w:rPr>
              <w:t>Aerozoliai</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b/>
                <w:color w:val="FFFFFF" w:themeColor="background1"/>
                <w:sz w:val="20"/>
                <w:szCs w:val="20"/>
              </w:rPr>
            </w:pPr>
            <w:r w:rsidRPr="00986029">
              <w:rPr>
                <w:b/>
                <w:color w:val="FFFFFF" w:themeColor="background1"/>
                <w:sz w:val="20"/>
              </w:rPr>
              <w:t>Biocidiniai produktai</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37"/>
        </w:trPr>
        <w:tc>
          <w:tcPr>
            <w:tcW w:w="1924" w:type="pct"/>
            <w:shd w:val="clear" w:color="auto" w:fill="569BBE"/>
            <w:vAlign w:val="center"/>
          </w:tcPr>
          <w:p w:rsidR="00A16A62" w:rsidRPr="00986029" w:rsidRDefault="00A16A62" w:rsidP="00B95E7A">
            <w:pPr>
              <w:pStyle w:val="Numbering"/>
              <w:numPr>
                <w:ilvl w:val="0"/>
                <w:numId w:val="0"/>
              </w:numPr>
              <w:spacing w:before="0"/>
              <w:jc w:val="left"/>
              <w:rPr>
                <w:rFonts w:ascii="Calibri" w:eastAsia="Calibri" w:hAnsi="Calibri" w:cs="Times New Roman"/>
                <w:b/>
                <w:color w:val="FFFFFF" w:themeColor="background1"/>
                <w:sz w:val="20"/>
                <w:szCs w:val="20"/>
              </w:rPr>
            </w:pPr>
            <w:r w:rsidRPr="00986029">
              <w:rPr>
                <w:rFonts w:ascii="Calibri" w:hAnsi="Calibri"/>
                <w:b/>
                <w:color w:val="FFFFFF" w:themeColor="background1"/>
                <w:sz w:val="20"/>
              </w:rPr>
              <w:t>Pagrindinės cheminės medžiagos</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jc w:val="left"/>
              <w:rPr>
                <w:b/>
                <w:color w:val="FFFFFF" w:themeColor="background1"/>
                <w:sz w:val="20"/>
                <w:szCs w:val="20"/>
              </w:rPr>
            </w:pPr>
            <w:r w:rsidRPr="00986029">
              <w:rPr>
                <w:b/>
                <w:color w:val="FFFFFF" w:themeColor="background1"/>
                <w:sz w:val="20"/>
              </w:rPr>
              <w:t>Augalų apsaugos produktai</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71"/>
        </w:trPr>
        <w:tc>
          <w:tcPr>
            <w:tcW w:w="1924" w:type="pct"/>
            <w:shd w:val="clear" w:color="auto" w:fill="569BBE"/>
            <w:vAlign w:val="center"/>
          </w:tcPr>
          <w:p w:rsidR="00A16A62" w:rsidRPr="00986029" w:rsidRDefault="00A16A62" w:rsidP="00B95E7A">
            <w:pPr>
              <w:pStyle w:val="Numbering"/>
              <w:numPr>
                <w:ilvl w:val="0"/>
                <w:numId w:val="0"/>
              </w:numPr>
              <w:spacing w:before="0"/>
              <w:jc w:val="left"/>
              <w:rPr>
                <w:rFonts w:ascii="Calibri" w:eastAsia="Calibri" w:hAnsi="Calibri" w:cs="Times New Roman"/>
                <w:b/>
                <w:color w:val="FFFFFF" w:themeColor="background1"/>
                <w:sz w:val="20"/>
                <w:szCs w:val="20"/>
              </w:rPr>
            </w:pPr>
            <w:r w:rsidRPr="00986029">
              <w:rPr>
                <w:rFonts w:ascii="Calibri" w:hAnsi="Calibri"/>
                <w:b/>
                <w:color w:val="FFFFFF" w:themeColor="background1"/>
                <w:sz w:val="20"/>
              </w:rPr>
              <w:t>Specializuotos cheminės medžiagos</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rFonts w:ascii="Calibri" w:eastAsia="Calibri" w:hAnsi="Calibri" w:cs="Times New Roman"/>
                <w:b/>
                <w:color w:val="FFFFFF" w:themeColor="background1"/>
                <w:sz w:val="20"/>
                <w:szCs w:val="20"/>
              </w:rPr>
            </w:pPr>
            <w:r w:rsidRPr="00986029">
              <w:rPr>
                <w:b/>
                <w:color w:val="FFFFFF" w:themeColor="background1"/>
                <w:sz w:val="20"/>
              </w:rPr>
              <w:t>Plovikliai ir valymo priemonės</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75"/>
        </w:trPr>
        <w:tc>
          <w:tcPr>
            <w:tcW w:w="1924" w:type="pct"/>
            <w:shd w:val="clear" w:color="auto" w:fill="569BBE"/>
            <w:vAlign w:val="center"/>
          </w:tcPr>
          <w:p w:rsidR="00A16A62" w:rsidRPr="00986029" w:rsidRDefault="00A16A62" w:rsidP="00B95E7A">
            <w:pPr>
              <w:pStyle w:val="Numbering"/>
              <w:numPr>
                <w:ilvl w:val="0"/>
                <w:numId w:val="0"/>
              </w:numPr>
              <w:spacing w:before="0"/>
              <w:jc w:val="left"/>
              <w:rPr>
                <w:rFonts w:ascii="Calibri" w:eastAsia="Calibri" w:hAnsi="Calibri" w:cs="Times New Roman"/>
                <w:b/>
                <w:color w:val="FFFFFF" w:themeColor="background1"/>
                <w:sz w:val="20"/>
                <w:szCs w:val="20"/>
              </w:rPr>
            </w:pPr>
            <w:r w:rsidRPr="00986029">
              <w:rPr>
                <w:rFonts w:ascii="Calibri" w:hAnsi="Calibri"/>
                <w:b/>
                <w:color w:val="FFFFFF" w:themeColor="background1"/>
                <w:sz w:val="20"/>
              </w:rPr>
              <w:t>Cheminių produktų mišinių ruošimas</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rFonts w:ascii="Calibri" w:eastAsia="Calibri" w:hAnsi="Calibri" w:cs="Times New Roman"/>
                <w:b/>
                <w:color w:val="FFFFFF" w:themeColor="background1"/>
                <w:sz w:val="20"/>
                <w:szCs w:val="20"/>
              </w:rPr>
            </w:pPr>
            <w:r w:rsidRPr="00986029">
              <w:rPr>
                <w:rFonts w:ascii="Calibri" w:hAnsi="Calibri"/>
                <w:b/>
                <w:color w:val="FFFFFF" w:themeColor="background1"/>
                <w:sz w:val="20"/>
              </w:rPr>
              <w:t>Asmens priežiūros produktai</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18"/>
        </w:trPr>
        <w:tc>
          <w:tcPr>
            <w:tcW w:w="1924" w:type="pct"/>
            <w:shd w:val="clear" w:color="auto" w:fill="569BBE"/>
            <w:vAlign w:val="center"/>
          </w:tcPr>
          <w:p w:rsidR="00A16A62" w:rsidRPr="00986029" w:rsidRDefault="00A16A62" w:rsidP="00B95E7A">
            <w:pPr>
              <w:jc w:val="left"/>
              <w:rPr>
                <w:rFonts w:ascii="Calibri" w:eastAsia="Calibri" w:hAnsi="Calibri" w:cs="Times New Roman"/>
                <w:b/>
                <w:color w:val="FFFFFF" w:themeColor="background1"/>
                <w:sz w:val="20"/>
                <w:szCs w:val="20"/>
              </w:rPr>
            </w:pPr>
            <w:r w:rsidRPr="00986029">
              <w:rPr>
                <w:rFonts w:ascii="Calibri" w:hAnsi="Calibri"/>
                <w:b/>
                <w:color w:val="FFFFFF" w:themeColor="background1"/>
                <w:sz w:val="20"/>
              </w:rPr>
              <w:t>Metalai ir metalų lydiniai</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rFonts w:ascii="Calibri" w:eastAsia="Calibri" w:hAnsi="Calibri" w:cs="Times New Roman"/>
                <w:b/>
                <w:color w:val="FFFFFF" w:themeColor="background1"/>
                <w:sz w:val="20"/>
                <w:szCs w:val="20"/>
              </w:rPr>
            </w:pPr>
            <w:r w:rsidRPr="00986029">
              <w:rPr>
                <w:rFonts w:ascii="Calibri" w:hAnsi="Calibri"/>
                <w:b/>
                <w:color w:val="FFFFFF" w:themeColor="background1"/>
                <w:sz w:val="20"/>
              </w:rPr>
              <w:t>Kosmetika</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18"/>
        </w:trPr>
        <w:tc>
          <w:tcPr>
            <w:tcW w:w="1924" w:type="pct"/>
            <w:shd w:val="clear" w:color="auto" w:fill="569BBE"/>
            <w:vAlign w:val="center"/>
          </w:tcPr>
          <w:p w:rsidR="00A16A62" w:rsidRPr="00986029" w:rsidRDefault="00A16A62" w:rsidP="00B95E7A">
            <w:pPr>
              <w:jc w:val="left"/>
              <w:rPr>
                <w:rFonts w:ascii="Calibri" w:eastAsia="Calibri" w:hAnsi="Calibri" w:cs="Times New Roman"/>
                <w:b/>
                <w:color w:val="FFFFFF" w:themeColor="background1"/>
                <w:sz w:val="20"/>
                <w:szCs w:val="20"/>
              </w:rPr>
            </w:pPr>
            <w:r w:rsidRPr="00986029">
              <w:rPr>
                <w:b/>
                <w:color w:val="FFFFFF" w:themeColor="background1"/>
                <w:sz w:val="20"/>
              </w:rPr>
              <w:t>Pagalbinės pramonei skirtos medžiagos</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rFonts w:ascii="Calibri" w:eastAsia="Calibri" w:hAnsi="Calibri" w:cs="Times New Roman"/>
                <w:b/>
                <w:color w:val="FFFFFF" w:themeColor="background1"/>
                <w:sz w:val="20"/>
                <w:szCs w:val="20"/>
              </w:rPr>
            </w:pPr>
            <w:r w:rsidRPr="00986029">
              <w:rPr>
                <w:b/>
                <w:color w:val="FFFFFF" w:themeColor="background1"/>
                <w:sz w:val="20"/>
              </w:rPr>
              <w:t>Dažai, rašalas ir dangos</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18"/>
        </w:trPr>
        <w:tc>
          <w:tcPr>
            <w:tcW w:w="1924" w:type="pct"/>
            <w:shd w:val="clear" w:color="auto" w:fill="569BBE"/>
            <w:vAlign w:val="center"/>
          </w:tcPr>
          <w:p w:rsidR="00A16A62" w:rsidRPr="00986029" w:rsidRDefault="00A16A62" w:rsidP="00B95E7A">
            <w:pPr>
              <w:jc w:val="left"/>
              <w:rPr>
                <w:rFonts w:ascii="Calibri" w:eastAsia="Calibri" w:hAnsi="Calibri" w:cs="Times New Roman"/>
                <w:b/>
                <w:color w:val="FFFFFF" w:themeColor="background1"/>
                <w:sz w:val="20"/>
                <w:szCs w:val="20"/>
              </w:rPr>
            </w:pPr>
            <w:r w:rsidRPr="00986029">
              <w:rPr>
                <w:rFonts w:ascii="Calibri" w:hAnsi="Calibri"/>
                <w:b/>
                <w:color w:val="FFFFFF" w:themeColor="background1"/>
                <w:sz w:val="20"/>
              </w:rPr>
              <w:t>Lipalai ir klijai</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b/>
                <w:color w:val="FFFFFF" w:themeColor="background1"/>
                <w:sz w:val="20"/>
                <w:szCs w:val="20"/>
              </w:rPr>
            </w:pPr>
            <w:r w:rsidRPr="00986029">
              <w:rPr>
                <w:b/>
                <w:color w:val="FFFFFF" w:themeColor="background1"/>
                <w:sz w:val="20"/>
              </w:rPr>
              <w:t>Dažikliai ir pigmentai</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75"/>
        </w:trPr>
        <w:tc>
          <w:tcPr>
            <w:tcW w:w="1924" w:type="pct"/>
            <w:shd w:val="clear" w:color="auto" w:fill="569BBE"/>
            <w:vAlign w:val="center"/>
          </w:tcPr>
          <w:p w:rsidR="00A16A62" w:rsidRPr="00986029" w:rsidRDefault="00A16A62" w:rsidP="00B95E7A">
            <w:pPr>
              <w:jc w:val="left"/>
              <w:rPr>
                <w:b/>
                <w:color w:val="FFFFFF" w:themeColor="background1"/>
                <w:sz w:val="20"/>
                <w:szCs w:val="20"/>
              </w:rPr>
            </w:pPr>
            <w:r w:rsidRPr="00986029">
              <w:rPr>
                <w:b/>
                <w:color w:val="FFFFFF" w:themeColor="background1"/>
                <w:sz w:val="20"/>
              </w:rPr>
              <w:t>Trąšos,</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b/>
                <w:color w:val="FFFFFF" w:themeColor="background1"/>
                <w:sz w:val="20"/>
                <w:szCs w:val="20"/>
              </w:rPr>
            </w:pPr>
            <w:r w:rsidRPr="00986029">
              <w:rPr>
                <w:b/>
                <w:color w:val="FFFFFF" w:themeColor="background1"/>
                <w:sz w:val="20"/>
              </w:rPr>
              <w:t>Žaislai</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75"/>
        </w:trPr>
        <w:tc>
          <w:tcPr>
            <w:tcW w:w="1924" w:type="pct"/>
            <w:shd w:val="clear" w:color="auto" w:fill="569BBE"/>
            <w:vAlign w:val="center"/>
          </w:tcPr>
          <w:p w:rsidR="00A16A62" w:rsidRPr="00986029" w:rsidRDefault="00A16A62" w:rsidP="00B95E7A">
            <w:pPr>
              <w:jc w:val="left"/>
              <w:rPr>
                <w:b/>
                <w:color w:val="FFFFFF" w:themeColor="background1"/>
                <w:sz w:val="20"/>
                <w:szCs w:val="20"/>
              </w:rPr>
            </w:pPr>
            <w:r w:rsidRPr="00986029">
              <w:rPr>
                <w:b/>
                <w:color w:val="FFFFFF" w:themeColor="background1"/>
                <w:sz w:val="20"/>
              </w:rPr>
              <w:t xml:space="preserve">Polimerai </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b/>
                <w:color w:val="FFFFFF" w:themeColor="background1"/>
                <w:sz w:val="20"/>
                <w:szCs w:val="20"/>
              </w:rPr>
            </w:pPr>
            <w:r w:rsidRPr="00986029">
              <w:rPr>
                <w:b/>
                <w:color w:val="FFFFFF" w:themeColor="background1"/>
                <w:sz w:val="20"/>
              </w:rPr>
              <w:t xml:space="preserve">Elektronika </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A16A62" w:rsidRPr="00986029" w:rsidTr="00A16A62">
        <w:trPr>
          <w:trHeight w:val="275"/>
        </w:trPr>
        <w:tc>
          <w:tcPr>
            <w:tcW w:w="1924" w:type="pct"/>
            <w:shd w:val="clear" w:color="auto" w:fill="569BBE"/>
            <w:vAlign w:val="center"/>
          </w:tcPr>
          <w:p w:rsidR="00A16A62" w:rsidRPr="00986029" w:rsidRDefault="00A16A62" w:rsidP="00B95E7A">
            <w:pPr>
              <w:jc w:val="left"/>
              <w:rPr>
                <w:b/>
                <w:color w:val="FFFFFF" w:themeColor="background1"/>
                <w:sz w:val="20"/>
                <w:szCs w:val="20"/>
              </w:rPr>
            </w:pPr>
            <w:r w:rsidRPr="00986029">
              <w:rPr>
                <w:b/>
                <w:color w:val="FFFFFF" w:themeColor="background1"/>
                <w:sz w:val="20"/>
              </w:rPr>
              <w:t>Plastmasė</w:t>
            </w:r>
          </w:p>
        </w:tc>
        <w:tc>
          <w:tcPr>
            <w:tcW w:w="614" w:type="pct"/>
            <w:shd w:val="clear" w:color="auto" w:fill="auto"/>
            <w:vAlign w:val="center"/>
          </w:tcPr>
          <w:p w:rsidR="00A16A62" w:rsidRPr="00986029" w:rsidRDefault="00A16A62"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A16A62" w:rsidRPr="00986029" w:rsidRDefault="00A16A62" w:rsidP="00B95E7A">
            <w:pPr>
              <w:rPr>
                <w:b/>
                <w:color w:val="FFFFFF" w:themeColor="background1"/>
                <w:sz w:val="20"/>
                <w:szCs w:val="20"/>
              </w:rPr>
            </w:pPr>
            <w:r w:rsidRPr="00986029">
              <w:rPr>
                <w:b/>
                <w:color w:val="FFFFFF" w:themeColor="background1"/>
                <w:sz w:val="20"/>
              </w:rPr>
              <w:t>Tekstilės gaminiai</w:t>
            </w:r>
          </w:p>
        </w:tc>
        <w:tc>
          <w:tcPr>
            <w:tcW w:w="615" w:type="pct"/>
            <w:shd w:val="clear" w:color="auto" w:fill="auto"/>
            <w:vAlign w:val="center"/>
          </w:tcPr>
          <w:p w:rsidR="00A16A62" w:rsidRPr="00986029" w:rsidRDefault="00A16A62" w:rsidP="007A09D9">
            <w:pPr>
              <w:widowControl w:val="0"/>
              <w:jc w:val="center"/>
              <w:rPr>
                <w:rFonts w:ascii="Calibri" w:eastAsia="Times New Roman" w:hAnsi="Calibri" w:cs="Times New Roman"/>
                <w:b/>
                <w:bCs/>
                <w:color w:val="FFFFFF" w:themeColor="background1"/>
                <w:sz w:val="20"/>
                <w:szCs w:val="20"/>
              </w:rPr>
            </w:pPr>
          </w:p>
        </w:tc>
      </w:tr>
      <w:tr w:rsidR="00BE4198" w:rsidRPr="00986029" w:rsidTr="00A16A62">
        <w:trPr>
          <w:trHeight w:val="275"/>
        </w:trPr>
        <w:tc>
          <w:tcPr>
            <w:tcW w:w="1924" w:type="pct"/>
            <w:shd w:val="clear" w:color="auto" w:fill="569BBE"/>
            <w:vAlign w:val="center"/>
          </w:tcPr>
          <w:p w:rsidR="00BE4198" w:rsidRPr="00986029" w:rsidRDefault="00BE4198" w:rsidP="00B95E7A">
            <w:pPr>
              <w:jc w:val="left"/>
              <w:rPr>
                <w:b/>
                <w:color w:val="FFFFFF" w:themeColor="background1"/>
                <w:sz w:val="20"/>
                <w:szCs w:val="20"/>
              </w:rPr>
            </w:pPr>
            <w:r w:rsidRPr="00986029">
              <w:rPr>
                <w:b/>
                <w:color w:val="FFFFFF" w:themeColor="background1"/>
                <w:sz w:val="20"/>
              </w:rPr>
              <w:t>Sintetinė guma</w:t>
            </w:r>
          </w:p>
        </w:tc>
        <w:tc>
          <w:tcPr>
            <w:tcW w:w="614" w:type="pct"/>
            <w:shd w:val="clear" w:color="auto" w:fill="auto"/>
            <w:vAlign w:val="center"/>
          </w:tcPr>
          <w:p w:rsidR="00BE4198" w:rsidRPr="00986029" w:rsidRDefault="00BE4198"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BE4198" w:rsidRPr="00986029" w:rsidRDefault="00BE4198" w:rsidP="00B95E7A">
            <w:pPr>
              <w:rPr>
                <w:b/>
                <w:color w:val="FFFFFF" w:themeColor="background1"/>
                <w:sz w:val="20"/>
                <w:szCs w:val="20"/>
              </w:rPr>
            </w:pPr>
            <w:r w:rsidRPr="00986029">
              <w:rPr>
                <w:b/>
                <w:color w:val="FFFFFF" w:themeColor="background1"/>
                <w:sz w:val="20"/>
              </w:rPr>
              <w:t>Baldai</w:t>
            </w:r>
          </w:p>
        </w:tc>
        <w:tc>
          <w:tcPr>
            <w:tcW w:w="615" w:type="pct"/>
            <w:shd w:val="clear" w:color="auto" w:fill="auto"/>
            <w:vAlign w:val="center"/>
          </w:tcPr>
          <w:p w:rsidR="00BE4198" w:rsidRPr="00986029" w:rsidRDefault="00BE4198" w:rsidP="007A09D9">
            <w:pPr>
              <w:widowControl w:val="0"/>
              <w:jc w:val="center"/>
              <w:rPr>
                <w:rFonts w:ascii="Calibri" w:eastAsia="Times New Roman" w:hAnsi="Calibri" w:cs="Times New Roman"/>
                <w:b/>
                <w:bCs/>
                <w:color w:val="FFFFFF" w:themeColor="background1"/>
                <w:sz w:val="20"/>
                <w:szCs w:val="20"/>
              </w:rPr>
            </w:pPr>
          </w:p>
        </w:tc>
      </w:tr>
      <w:tr w:rsidR="00BE4198" w:rsidRPr="00986029" w:rsidTr="00A16A62">
        <w:trPr>
          <w:trHeight w:val="275"/>
        </w:trPr>
        <w:tc>
          <w:tcPr>
            <w:tcW w:w="1924" w:type="pct"/>
            <w:shd w:val="clear" w:color="auto" w:fill="569BBE"/>
            <w:vAlign w:val="center"/>
          </w:tcPr>
          <w:p w:rsidR="00BE4198" w:rsidRPr="00986029" w:rsidRDefault="00BE4198" w:rsidP="00B95E7A">
            <w:pPr>
              <w:jc w:val="left"/>
              <w:rPr>
                <w:b/>
                <w:color w:val="FFFFFF" w:themeColor="background1"/>
                <w:sz w:val="20"/>
                <w:szCs w:val="20"/>
              </w:rPr>
            </w:pPr>
            <w:r w:rsidRPr="00986029">
              <w:rPr>
                <w:b/>
                <w:color w:val="FFFFFF" w:themeColor="background1"/>
                <w:sz w:val="20"/>
              </w:rPr>
              <w:t xml:space="preserve">Popierius ir plaušiena </w:t>
            </w:r>
          </w:p>
        </w:tc>
        <w:tc>
          <w:tcPr>
            <w:tcW w:w="614" w:type="pct"/>
            <w:shd w:val="clear" w:color="auto" w:fill="auto"/>
            <w:vAlign w:val="center"/>
          </w:tcPr>
          <w:p w:rsidR="00BE4198" w:rsidRPr="00986029" w:rsidRDefault="00BE4198"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BE4198" w:rsidRPr="00986029" w:rsidRDefault="00BE4198" w:rsidP="00B95E7A">
            <w:pPr>
              <w:rPr>
                <w:b/>
                <w:color w:val="FFFFFF" w:themeColor="background1"/>
                <w:sz w:val="20"/>
                <w:szCs w:val="20"/>
              </w:rPr>
            </w:pPr>
            <w:r w:rsidRPr="00986029">
              <w:rPr>
                <w:b/>
                <w:color w:val="FFFFFF" w:themeColor="background1"/>
                <w:sz w:val="20"/>
              </w:rPr>
              <w:t>Aeronautika ir gynyba</w:t>
            </w:r>
          </w:p>
        </w:tc>
        <w:tc>
          <w:tcPr>
            <w:tcW w:w="615" w:type="pct"/>
            <w:shd w:val="clear" w:color="auto" w:fill="auto"/>
            <w:vAlign w:val="center"/>
          </w:tcPr>
          <w:p w:rsidR="00BE4198" w:rsidRPr="00986029" w:rsidRDefault="00BE4198" w:rsidP="007A09D9">
            <w:pPr>
              <w:widowControl w:val="0"/>
              <w:jc w:val="center"/>
              <w:rPr>
                <w:rFonts w:ascii="Calibri" w:eastAsia="Times New Roman" w:hAnsi="Calibri" w:cs="Times New Roman"/>
                <w:b/>
                <w:bCs/>
                <w:color w:val="FFFFFF" w:themeColor="background1"/>
                <w:sz w:val="20"/>
                <w:szCs w:val="20"/>
              </w:rPr>
            </w:pPr>
          </w:p>
        </w:tc>
      </w:tr>
      <w:tr w:rsidR="00BE4198" w:rsidRPr="00986029" w:rsidTr="00A16A62">
        <w:trPr>
          <w:trHeight w:val="275"/>
        </w:trPr>
        <w:tc>
          <w:tcPr>
            <w:tcW w:w="1924" w:type="pct"/>
            <w:shd w:val="clear" w:color="auto" w:fill="569BBE"/>
            <w:vAlign w:val="center"/>
          </w:tcPr>
          <w:p w:rsidR="00BE4198" w:rsidRPr="00986029" w:rsidRDefault="00BE4198" w:rsidP="00B95E7A">
            <w:pPr>
              <w:jc w:val="left"/>
              <w:rPr>
                <w:b/>
                <w:color w:val="FFFFFF" w:themeColor="background1"/>
                <w:sz w:val="20"/>
                <w:szCs w:val="20"/>
              </w:rPr>
            </w:pPr>
            <w:r w:rsidRPr="00986029">
              <w:rPr>
                <w:rFonts w:ascii="Calibri" w:hAnsi="Calibri"/>
                <w:b/>
                <w:color w:val="FFFFFF" w:themeColor="background1"/>
                <w:sz w:val="20"/>
              </w:rPr>
              <w:t>Tepalai, alyvos ir su jais susiję produktai</w:t>
            </w:r>
          </w:p>
        </w:tc>
        <w:tc>
          <w:tcPr>
            <w:tcW w:w="614" w:type="pct"/>
            <w:shd w:val="clear" w:color="auto" w:fill="auto"/>
            <w:vAlign w:val="center"/>
          </w:tcPr>
          <w:p w:rsidR="00BE4198" w:rsidRPr="00986029" w:rsidRDefault="00BE4198"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BE4198" w:rsidRPr="00986029" w:rsidRDefault="00BE4198" w:rsidP="00B95E7A">
            <w:pPr>
              <w:rPr>
                <w:b/>
                <w:color w:val="FFFFFF" w:themeColor="background1"/>
                <w:sz w:val="20"/>
                <w:szCs w:val="20"/>
              </w:rPr>
            </w:pPr>
            <w:r w:rsidRPr="00986029">
              <w:rPr>
                <w:b/>
                <w:color w:val="FFFFFF" w:themeColor="background1"/>
                <w:sz w:val="20"/>
              </w:rPr>
              <w:t>Automobilių pramonė</w:t>
            </w:r>
          </w:p>
        </w:tc>
        <w:tc>
          <w:tcPr>
            <w:tcW w:w="615" w:type="pct"/>
            <w:shd w:val="clear" w:color="auto" w:fill="auto"/>
            <w:vAlign w:val="center"/>
          </w:tcPr>
          <w:p w:rsidR="00BE4198" w:rsidRPr="00986029" w:rsidRDefault="00BE4198" w:rsidP="007A09D9">
            <w:pPr>
              <w:widowControl w:val="0"/>
              <w:jc w:val="center"/>
              <w:rPr>
                <w:rFonts w:ascii="Calibri" w:eastAsia="Times New Roman" w:hAnsi="Calibri" w:cs="Times New Roman"/>
                <w:b/>
                <w:bCs/>
                <w:color w:val="FFFFFF" w:themeColor="background1"/>
                <w:sz w:val="20"/>
                <w:szCs w:val="20"/>
              </w:rPr>
            </w:pPr>
          </w:p>
        </w:tc>
      </w:tr>
      <w:tr w:rsidR="00BE4198" w:rsidRPr="00986029" w:rsidTr="00A16A62">
        <w:trPr>
          <w:trHeight w:val="275"/>
        </w:trPr>
        <w:tc>
          <w:tcPr>
            <w:tcW w:w="1924" w:type="pct"/>
            <w:shd w:val="clear" w:color="auto" w:fill="569BBE"/>
            <w:vAlign w:val="center"/>
          </w:tcPr>
          <w:p w:rsidR="00BE4198" w:rsidRPr="00986029" w:rsidRDefault="00BE4198" w:rsidP="00B95E7A">
            <w:pPr>
              <w:jc w:val="left"/>
              <w:rPr>
                <w:b/>
                <w:color w:val="FFFFFF" w:themeColor="background1"/>
                <w:sz w:val="20"/>
                <w:szCs w:val="20"/>
              </w:rPr>
            </w:pPr>
            <w:r w:rsidRPr="00986029">
              <w:rPr>
                <w:b/>
                <w:color w:val="FFFFFF" w:themeColor="background1"/>
                <w:sz w:val="20"/>
              </w:rPr>
              <w:t>Kita cheminių medžiagų gamybos veikla</w:t>
            </w:r>
          </w:p>
        </w:tc>
        <w:tc>
          <w:tcPr>
            <w:tcW w:w="614" w:type="pct"/>
            <w:shd w:val="clear" w:color="auto" w:fill="auto"/>
            <w:vAlign w:val="center"/>
          </w:tcPr>
          <w:p w:rsidR="00BE4198" w:rsidRPr="00986029" w:rsidRDefault="00BE4198"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BE4198" w:rsidRPr="00986029" w:rsidRDefault="00584D3D" w:rsidP="00584D3D">
            <w:pPr>
              <w:jc w:val="left"/>
              <w:rPr>
                <w:rFonts w:ascii="Calibri" w:eastAsia="Times New Roman" w:hAnsi="Calibri" w:cs="Times New Roman"/>
                <w:b/>
                <w:color w:val="FFFFFF" w:themeColor="background1"/>
                <w:sz w:val="20"/>
                <w:szCs w:val="20"/>
              </w:rPr>
            </w:pPr>
            <w:r w:rsidRPr="00986029">
              <w:rPr>
                <w:rFonts w:ascii="Calibri" w:hAnsi="Calibri"/>
                <w:b/>
                <w:color w:val="FFFFFF" w:themeColor="background1"/>
                <w:sz w:val="20"/>
              </w:rPr>
              <w:t xml:space="preserve">Pakuotė </w:t>
            </w:r>
          </w:p>
        </w:tc>
        <w:tc>
          <w:tcPr>
            <w:tcW w:w="615" w:type="pct"/>
            <w:shd w:val="clear" w:color="auto" w:fill="auto"/>
            <w:vAlign w:val="center"/>
          </w:tcPr>
          <w:p w:rsidR="00BE4198" w:rsidRPr="00986029" w:rsidRDefault="00BE4198" w:rsidP="00B95E7A">
            <w:pPr>
              <w:rPr>
                <w:b/>
                <w:color w:val="FFFFFF" w:themeColor="background1"/>
                <w:sz w:val="20"/>
                <w:szCs w:val="20"/>
              </w:rPr>
            </w:pPr>
            <w:r w:rsidRPr="00986029">
              <w:rPr>
                <w:b/>
                <w:color w:val="FFFFFF" w:themeColor="background1"/>
                <w:sz w:val="20"/>
              </w:rPr>
              <w:t>Mažmeninė prekyba</w:t>
            </w:r>
          </w:p>
        </w:tc>
      </w:tr>
      <w:tr w:rsidR="00BE4198" w:rsidRPr="00986029" w:rsidTr="00A16A62">
        <w:trPr>
          <w:trHeight w:val="275"/>
        </w:trPr>
        <w:tc>
          <w:tcPr>
            <w:tcW w:w="1924" w:type="pct"/>
            <w:shd w:val="clear" w:color="auto" w:fill="569BBE"/>
            <w:vAlign w:val="center"/>
          </w:tcPr>
          <w:p w:rsidR="00BE4198" w:rsidRPr="00986029" w:rsidRDefault="000E2B28" w:rsidP="00B95E7A">
            <w:pPr>
              <w:jc w:val="left"/>
              <w:rPr>
                <w:b/>
                <w:color w:val="FFFFFF" w:themeColor="background1"/>
                <w:sz w:val="20"/>
                <w:szCs w:val="20"/>
              </w:rPr>
            </w:pPr>
            <w:r w:rsidRPr="00986029">
              <w:rPr>
                <w:rFonts w:ascii="Calibri" w:hAnsi="Calibri"/>
                <w:b/>
                <w:color w:val="FFFFFF" w:themeColor="background1"/>
                <w:sz w:val="20"/>
              </w:rPr>
              <w:t>Mažmeninė prekyba</w:t>
            </w:r>
          </w:p>
        </w:tc>
        <w:tc>
          <w:tcPr>
            <w:tcW w:w="614" w:type="pct"/>
            <w:shd w:val="clear" w:color="auto" w:fill="auto"/>
            <w:vAlign w:val="center"/>
          </w:tcPr>
          <w:p w:rsidR="00BE4198" w:rsidRPr="00986029" w:rsidRDefault="00BE4198"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BE4198" w:rsidRPr="00986029" w:rsidRDefault="000E2B28" w:rsidP="00BE4198">
            <w:pPr>
              <w:jc w:val="left"/>
              <w:rPr>
                <w:rFonts w:ascii="Calibri" w:eastAsia="Times New Roman" w:hAnsi="Calibri" w:cs="Times New Roman"/>
                <w:b/>
                <w:color w:val="FFFFFF" w:themeColor="background1"/>
                <w:sz w:val="20"/>
                <w:szCs w:val="20"/>
              </w:rPr>
            </w:pPr>
            <w:r w:rsidRPr="00986029">
              <w:rPr>
                <w:rFonts w:ascii="Calibri" w:hAnsi="Calibri"/>
                <w:b/>
                <w:color w:val="FFFFFF" w:themeColor="background1"/>
                <w:sz w:val="20"/>
              </w:rPr>
              <w:t>Kita gamyba</w:t>
            </w:r>
          </w:p>
        </w:tc>
        <w:tc>
          <w:tcPr>
            <w:tcW w:w="615" w:type="pct"/>
            <w:shd w:val="clear" w:color="auto" w:fill="auto"/>
            <w:vAlign w:val="center"/>
          </w:tcPr>
          <w:p w:rsidR="00BE4198" w:rsidRPr="00986029" w:rsidRDefault="00BE4198" w:rsidP="00B95E7A">
            <w:pPr>
              <w:rPr>
                <w:b/>
                <w:color w:val="FFFFFF" w:themeColor="background1"/>
                <w:sz w:val="20"/>
                <w:szCs w:val="20"/>
              </w:rPr>
            </w:pPr>
          </w:p>
        </w:tc>
      </w:tr>
      <w:tr w:rsidR="00E06576" w:rsidRPr="00986029" w:rsidTr="00A16A62">
        <w:trPr>
          <w:trHeight w:val="275"/>
        </w:trPr>
        <w:tc>
          <w:tcPr>
            <w:tcW w:w="1924" w:type="pct"/>
            <w:shd w:val="clear" w:color="auto" w:fill="569BBE"/>
            <w:vAlign w:val="center"/>
          </w:tcPr>
          <w:p w:rsidR="00E06576" w:rsidRPr="00986029" w:rsidRDefault="00E06576" w:rsidP="00B95E7A">
            <w:pPr>
              <w:jc w:val="left"/>
              <w:rPr>
                <w:rFonts w:ascii="Calibri" w:eastAsia="Times New Roman" w:hAnsi="Calibri" w:cs="Times New Roman"/>
                <w:b/>
                <w:color w:val="FFFFFF" w:themeColor="background1"/>
                <w:sz w:val="20"/>
                <w:szCs w:val="20"/>
              </w:rPr>
            </w:pPr>
            <w:r w:rsidRPr="00986029">
              <w:rPr>
                <w:rFonts w:ascii="Calibri" w:hAnsi="Calibri"/>
                <w:b/>
                <w:color w:val="FFFFFF" w:themeColor="background1"/>
                <w:sz w:val="20"/>
              </w:rPr>
              <w:t>Maistas</w:t>
            </w:r>
          </w:p>
        </w:tc>
        <w:tc>
          <w:tcPr>
            <w:tcW w:w="614" w:type="pct"/>
            <w:shd w:val="clear" w:color="auto" w:fill="auto"/>
            <w:vAlign w:val="center"/>
          </w:tcPr>
          <w:p w:rsidR="00E06576" w:rsidRPr="00986029" w:rsidRDefault="00E06576" w:rsidP="007A09D9">
            <w:pPr>
              <w:ind w:left="57"/>
              <w:jc w:val="center"/>
              <w:rPr>
                <w:rFonts w:ascii="Calibri" w:eastAsia="Times New Roman" w:hAnsi="Calibri" w:cs="Times New Roman"/>
                <w:b/>
                <w:color w:val="FFFFFF" w:themeColor="background1"/>
                <w:sz w:val="20"/>
                <w:szCs w:val="20"/>
              </w:rPr>
            </w:pPr>
          </w:p>
        </w:tc>
        <w:tc>
          <w:tcPr>
            <w:tcW w:w="1847" w:type="pct"/>
            <w:shd w:val="clear" w:color="auto" w:fill="569BBE"/>
            <w:vAlign w:val="center"/>
          </w:tcPr>
          <w:p w:rsidR="00E06576" w:rsidRPr="00986029" w:rsidRDefault="00584D3D" w:rsidP="00BE4198">
            <w:pPr>
              <w:jc w:val="left"/>
              <w:rPr>
                <w:rFonts w:ascii="Calibri" w:eastAsia="Times New Roman" w:hAnsi="Calibri" w:cs="Times New Roman"/>
                <w:b/>
                <w:color w:val="FFFFFF" w:themeColor="background1"/>
                <w:sz w:val="20"/>
                <w:szCs w:val="20"/>
              </w:rPr>
            </w:pPr>
            <w:r w:rsidRPr="00986029">
              <w:rPr>
                <w:rFonts w:ascii="Calibri" w:hAnsi="Calibri"/>
                <w:b/>
                <w:color w:val="FFFFFF" w:themeColor="background1"/>
                <w:sz w:val="20"/>
              </w:rPr>
              <w:t>Kita</w:t>
            </w:r>
          </w:p>
        </w:tc>
        <w:tc>
          <w:tcPr>
            <w:tcW w:w="615" w:type="pct"/>
            <w:shd w:val="clear" w:color="auto" w:fill="auto"/>
            <w:vAlign w:val="center"/>
          </w:tcPr>
          <w:p w:rsidR="00E06576" w:rsidRPr="00986029" w:rsidRDefault="00E06576" w:rsidP="00B95E7A">
            <w:pPr>
              <w:rPr>
                <w:b/>
                <w:color w:val="FFFFFF" w:themeColor="background1"/>
                <w:sz w:val="20"/>
                <w:szCs w:val="20"/>
              </w:rPr>
            </w:pPr>
          </w:p>
        </w:tc>
      </w:tr>
    </w:tbl>
    <w:p w:rsidR="00F920F4" w:rsidRPr="00986029" w:rsidRDefault="00F920F4"/>
    <w:p w:rsidR="00776184" w:rsidRPr="00986029" w:rsidRDefault="00002C14" w:rsidP="00002C14">
      <w:pPr>
        <w:pStyle w:val="Heading2"/>
      </w:pPr>
      <w:r w:rsidRPr="00986029">
        <w:t>KŽP reglamento įgyvendinimo poveikis MVĮ</w:t>
      </w:r>
    </w:p>
    <w:p w:rsidR="00ED532F" w:rsidRPr="00986029" w:rsidRDefault="00ED532F" w:rsidP="00E23C77">
      <w:pPr>
        <w:pStyle w:val="Numbering"/>
        <w:numPr>
          <w:ilvl w:val="0"/>
          <w:numId w:val="0"/>
        </w:numPr>
        <w:spacing w:after="120"/>
        <w:rPr>
          <w:i/>
        </w:rPr>
      </w:pPr>
      <w:r w:rsidRPr="00986029">
        <w:rPr>
          <w:i/>
        </w:rPr>
        <w:t xml:space="preserve">Šis skyrius susijęs su Reglamento (EB) Nr. 1272/2008 dėl cheminių medžiagų ir mišinių klasifikavimo, ženklinimo ir pakavimo (toliau – KŽP reglamentas), kuris pakeitė ankstesnę Pavojingų medžiagų direktyvos (Direktyva 67/548/EEB) ir Pavojingų preparatų direktyvos (Direktyva 1999/45/EB) sistemą atitinkamai 2010 m. ir 2015 m., įgyvendinimu. </w:t>
      </w:r>
    </w:p>
    <w:p w:rsidR="004D6C95" w:rsidRPr="00986029" w:rsidRDefault="004D6C95" w:rsidP="004D6C95">
      <w:pPr>
        <w:pStyle w:val="Numbering"/>
        <w:spacing w:after="120"/>
        <w:ind w:left="357" w:hanging="357"/>
      </w:pPr>
      <w:r w:rsidRPr="00986029">
        <w:t xml:space="preserve">Jei esate </w:t>
      </w:r>
      <w:r w:rsidRPr="00986029">
        <w:rPr>
          <w:u w:val="single"/>
        </w:rPr>
        <w:t>cheminių medžiagų gamintojas, importuotojas arba mišinio ruošėjas</w:t>
      </w:r>
      <w:r w:rsidRPr="00986029">
        <w:t>, ar jums teko vykdyti kurią nors toliau nurodytą veiklą įgyvendinant KŽP reglamentą?</w:t>
      </w:r>
    </w:p>
    <w:tbl>
      <w:tblPr>
        <w:tblStyle w:val="TableGrid"/>
        <w:tblW w:w="0" w:type="auto"/>
        <w:tblInd w:w="108" w:type="dxa"/>
        <w:tblLook w:val="04A0" w:firstRow="1" w:lastRow="0" w:firstColumn="1" w:lastColumn="0" w:noHBand="0" w:noVBand="1"/>
      </w:tblPr>
      <w:tblGrid>
        <w:gridCol w:w="5103"/>
        <w:gridCol w:w="3969"/>
      </w:tblGrid>
      <w:tr w:rsidR="004D6C95" w:rsidRPr="00986029" w:rsidTr="002D60CD">
        <w:tc>
          <w:tcPr>
            <w:tcW w:w="5103" w:type="dxa"/>
            <w:shd w:val="clear" w:color="auto" w:fill="569BBE"/>
          </w:tcPr>
          <w:p w:rsidR="004D6C95" w:rsidRPr="00986029" w:rsidRDefault="004D6C95" w:rsidP="002D60CD">
            <w:pPr>
              <w:pStyle w:val="Numbering"/>
              <w:numPr>
                <w:ilvl w:val="0"/>
                <w:numId w:val="0"/>
              </w:numPr>
              <w:spacing w:before="0"/>
              <w:rPr>
                <w:b/>
                <w:color w:val="FFFFFF" w:themeColor="background1"/>
                <w:sz w:val="20"/>
              </w:rPr>
            </w:pPr>
            <w:r w:rsidRPr="00986029">
              <w:rPr>
                <w:b/>
                <w:color w:val="FFFFFF" w:themeColor="background1"/>
                <w:sz w:val="20"/>
              </w:rPr>
              <w:t>Su KŽP reglamentu susijusi veikla</w:t>
            </w:r>
          </w:p>
        </w:tc>
        <w:tc>
          <w:tcPr>
            <w:tcW w:w="3969" w:type="dxa"/>
            <w:shd w:val="clear" w:color="auto" w:fill="569BBE"/>
          </w:tcPr>
          <w:p w:rsidR="004D6C95" w:rsidRPr="00986029" w:rsidRDefault="004D6C95" w:rsidP="002D60CD">
            <w:pPr>
              <w:pStyle w:val="Numbering"/>
              <w:numPr>
                <w:ilvl w:val="0"/>
                <w:numId w:val="0"/>
              </w:numPr>
              <w:spacing w:before="0"/>
              <w:jc w:val="center"/>
              <w:rPr>
                <w:b/>
                <w:color w:val="FFFFFF" w:themeColor="background1"/>
                <w:sz w:val="20"/>
              </w:rPr>
            </w:pPr>
            <w:r w:rsidRPr="00986029">
              <w:rPr>
                <w:b/>
                <w:color w:val="FFFFFF" w:themeColor="background1"/>
                <w:sz w:val="20"/>
              </w:rPr>
              <w:t>Pažymėkite varnele visus tinkamus atsakymus</w:t>
            </w:r>
          </w:p>
        </w:tc>
      </w:tr>
      <w:tr w:rsidR="004D6C95" w:rsidRPr="00986029" w:rsidTr="002D60CD">
        <w:tc>
          <w:tcPr>
            <w:tcW w:w="5103" w:type="dxa"/>
          </w:tcPr>
          <w:p w:rsidR="004D6C95" w:rsidRPr="00986029" w:rsidRDefault="004D6C95" w:rsidP="002D60CD">
            <w:pPr>
              <w:pStyle w:val="Numbering"/>
              <w:numPr>
                <w:ilvl w:val="0"/>
                <w:numId w:val="0"/>
              </w:numPr>
              <w:spacing w:before="0"/>
              <w:rPr>
                <w:sz w:val="20"/>
                <w:szCs w:val="20"/>
              </w:rPr>
            </w:pPr>
            <w:r w:rsidRPr="00986029">
              <w:rPr>
                <w:sz w:val="20"/>
              </w:rPr>
              <w:t>Mokymas</w:t>
            </w:r>
          </w:p>
        </w:tc>
        <w:tc>
          <w:tcPr>
            <w:tcW w:w="3969" w:type="dxa"/>
          </w:tcPr>
          <w:p w:rsidR="004D6C95" w:rsidRPr="00986029" w:rsidRDefault="004D6C95" w:rsidP="002D60CD">
            <w:pPr>
              <w:pStyle w:val="Numbering"/>
              <w:numPr>
                <w:ilvl w:val="0"/>
                <w:numId w:val="0"/>
              </w:numPr>
              <w:spacing w:before="0"/>
              <w:rPr>
                <w:sz w:val="18"/>
              </w:rPr>
            </w:pPr>
          </w:p>
        </w:tc>
      </w:tr>
      <w:tr w:rsidR="004D6C95" w:rsidRPr="00986029" w:rsidTr="002D60CD">
        <w:tc>
          <w:tcPr>
            <w:tcW w:w="5103" w:type="dxa"/>
          </w:tcPr>
          <w:p w:rsidR="004D6C95" w:rsidRPr="00986029" w:rsidRDefault="004D6C95" w:rsidP="002D60CD">
            <w:pPr>
              <w:pStyle w:val="Numbering"/>
              <w:numPr>
                <w:ilvl w:val="0"/>
                <w:numId w:val="0"/>
              </w:numPr>
              <w:spacing w:before="0"/>
              <w:rPr>
                <w:sz w:val="20"/>
                <w:szCs w:val="20"/>
              </w:rPr>
            </w:pPr>
            <w:r w:rsidRPr="00986029">
              <w:rPr>
                <w:sz w:val="20"/>
              </w:rPr>
              <w:t>Naujos IT ir programinės įrangos pirkimas</w:t>
            </w:r>
          </w:p>
        </w:tc>
        <w:tc>
          <w:tcPr>
            <w:tcW w:w="3969" w:type="dxa"/>
          </w:tcPr>
          <w:p w:rsidR="004D6C95" w:rsidRPr="00986029" w:rsidRDefault="004D6C95" w:rsidP="002D60CD">
            <w:pPr>
              <w:pStyle w:val="Numbering"/>
              <w:numPr>
                <w:ilvl w:val="0"/>
                <w:numId w:val="0"/>
              </w:numPr>
              <w:spacing w:before="0"/>
              <w:rPr>
                <w:sz w:val="18"/>
              </w:rPr>
            </w:pPr>
          </w:p>
        </w:tc>
      </w:tr>
      <w:tr w:rsidR="004D6C95" w:rsidRPr="00986029" w:rsidTr="002D60CD">
        <w:tc>
          <w:tcPr>
            <w:tcW w:w="5103" w:type="dxa"/>
          </w:tcPr>
          <w:p w:rsidR="004D6C95" w:rsidRPr="00986029" w:rsidRDefault="004D6C95" w:rsidP="002D60CD">
            <w:pPr>
              <w:pStyle w:val="Numbering"/>
              <w:numPr>
                <w:ilvl w:val="0"/>
                <w:numId w:val="0"/>
              </w:numPr>
              <w:spacing w:before="0"/>
              <w:rPr>
                <w:sz w:val="20"/>
                <w:szCs w:val="20"/>
              </w:rPr>
            </w:pPr>
            <w:r w:rsidRPr="00986029">
              <w:rPr>
                <w:sz w:val="20"/>
              </w:rPr>
              <w:t>Cheminių medžiagų perklasifikavimas</w:t>
            </w:r>
          </w:p>
        </w:tc>
        <w:tc>
          <w:tcPr>
            <w:tcW w:w="3969" w:type="dxa"/>
          </w:tcPr>
          <w:p w:rsidR="004D6C95" w:rsidRPr="00986029" w:rsidRDefault="004D6C95" w:rsidP="002D60CD">
            <w:pPr>
              <w:pStyle w:val="Numbering"/>
              <w:numPr>
                <w:ilvl w:val="0"/>
                <w:numId w:val="0"/>
              </w:numPr>
              <w:spacing w:before="0"/>
              <w:rPr>
                <w:sz w:val="18"/>
              </w:rPr>
            </w:pPr>
          </w:p>
        </w:tc>
      </w:tr>
      <w:tr w:rsidR="004D6C95" w:rsidRPr="00986029" w:rsidTr="002D60CD">
        <w:tc>
          <w:tcPr>
            <w:tcW w:w="5103" w:type="dxa"/>
          </w:tcPr>
          <w:p w:rsidR="004D6C95" w:rsidRPr="00986029" w:rsidRDefault="004D6C95" w:rsidP="002D60CD">
            <w:pPr>
              <w:pStyle w:val="Numbering"/>
              <w:numPr>
                <w:ilvl w:val="0"/>
                <w:numId w:val="0"/>
              </w:numPr>
              <w:spacing w:before="0"/>
              <w:rPr>
                <w:sz w:val="20"/>
                <w:szCs w:val="20"/>
              </w:rPr>
            </w:pPr>
            <w:r w:rsidRPr="00986029">
              <w:rPr>
                <w:sz w:val="20"/>
              </w:rPr>
              <w:t>Mišinių perklasifikavimas</w:t>
            </w:r>
          </w:p>
        </w:tc>
        <w:tc>
          <w:tcPr>
            <w:tcW w:w="3969" w:type="dxa"/>
          </w:tcPr>
          <w:p w:rsidR="004D6C95" w:rsidRPr="00986029" w:rsidRDefault="004D6C95" w:rsidP="002D60CD">
            <w:pPr>
              <w:pStyle w:val="Numbering"/>
              <w:numPr>
                <w:ilvl w:val="0"/>
                <w:numId w:val="0"/>
              </w:numPr>
              <w:spacing w:before="0"/>
              <w:rPr>
                <w:sz w:val="18"/>
              </w:rPr>
            </w:pPr>
          </w:p>
        </w:tc>
      </w:tr>
      <w:tr w:rsidR="004D6C95" w:rsidRPr="00986029" w:rsidTr="002D60CD">
        <w:tc>
          <w:tcPr>
            <w:tcW w:w="5103" w:type="dxa"/>
          </w:tcPr>
          <w:p w:rsidR="004D6C95" w:rsidRPr="00986029" w:rsidRDefault="004D6C95" w:rsidP="002D60CD">
            <w:pPr>
              <w:pStyle w:val="Numbering"/>
              <w:numPr>
                <w:ilvl w:val="0"/>
                <w:numId w:val="0"/>
              </w:numPr>
              <w:spacing w:before="0"/>
              <w:rPr>
                <w:sz w:val="20"/>
                <w:szCs w:val="20"/>
              </w:rPr>
            </w:pPr>
            <w:r w:rsidRPr="00986029">
              <w:rPr>
                <w:sz w:val="20"/>
              </w:rPr>
              <w:t>Pakartotinis produktų ženklinimas</w:t>
            </w:r>
          </w:p>
        </w:tc>
        <w:tc>
          <w:tcPr>
            <w:tcW w:w="3969" w:type="dxa"/>
          </w:tcPr>
          <w:p w:rsidR="004D6C95" w:rsidRPr="00986029" w:rsidRDefault="004D6C95" w:rsidP="002D60CD">
            <w:pPr>
              <w:pStyle w:val="Numbering"/>
              <w:numPr>
                <w:ilvl w:val="0"/>
                <w:numId w:val="0"/>
              </w:numPr>
              <w:spacing w:before="0"/>
              <w:rPr>
                <w:sz w:val="18"/>
              </w:rPr>
            </w:pPr>
          </w:p>
        </w:tc>
      </w:tr>
      <w:tr w:rsidR="004D6C95" w:rsidRPr="00986029" w:rsidTr="002D60CD">
        <w:tc>
          <w:tcPr>
            <w:tcW w:w="5103" w:type="dxa"/>
          </w:tcPr>
          <w:p w:rsidR="004D6C95" w:rsidRPr="00986029" w:rsidRDefault="004D6C95" w:rsidP="002D60CD">
            <w:pPr>
              <w:pStyle w:val="Numbering"/>
              <w:numPr>
                <w:ilvl w:val="0"/>
                <w:numId w:val="0"/>
              </w:numPr>
              <w:spacing w:before="0"/>
              <w:rPr>
                <w:sz w:val="20"/>
                <w:szCs w:val="20"/>
              </w:rPr>
            </w:pPr>
            <w:r w:rsidRPr="00986029">
              <w:rPr>
                <w:sz w:val="20"/>
              </w:rPr>
              <w:t>Produktų perpakavimas</w:t>
            </w:r>
          </w:p>
        </w:tc>
        <w:tc>
          <w:tcPr>
            <w:tcW w:w="3969" w:type="dxa"/>
          </w:tcPr>
          <w:p w:rsidR="004D6C95" w:rsidRPr="00986029" w:rsidRDefault="004D6C95" w:rsidP="002D60CD">
            <w:pPr>
              <w:pStyle w:val="Numbering"/>
              <w:numPr>
                <w:ilvl w:val="0"/>
                <w:numId w:val="0"/>
              </w:numPr>
              <w:spacing w:before="0"/>
              <w:rPr>
                <w:sz w:val="18"/>
              </w:rPr>
            </w:pPr>
          </w:p>
        </w:tc>
      </w:tr>
    </w:tbl>
    <w:p w:rsidR="004D6C95" w:rsidRPr="00986029" w:rsidRDefault="004D6C95" w:rsidP="004D6C95">
      <w:pPr>
        <w:tabs>
          <w:tab w:val="left" w:pos="426"/>
        </w:tabs>
      </w:pPr>
    </w:p>
    <w:p w:rsidR="004D6C95" w:rsidRPr="00986029" w:rsidRDefault="004D6C95" w:rsidP="00002C14">
      <w:pPr>
        <w:pStyle w:val="Numbering"/>
        <w:spacing w:before="120"/>
        <w:ind w:left="357" w:hanging="357"/>
      </w:pPr>
      <w:r w:rsidRPr="00986029">
        <w:t xml:space="preserve">Jei esate </w:t>
      </w:r>
      <w:r w:rsidRPr="00986029">
        <w:rPr>
          <w:u w:val="single"/>
        </w:rPr>
        <w:t>cheminių medžiagų gamintojas, mišinio ruošėjas arba platintojas</w:t>
      </w:r>
      <w:r w:rsidRPr="00986029">
        <w:t>, ar KŽP reglamento įgyvendinimas (t. y. Pavojingų medžiagų direktyvos (PMD) ir Pavojingų preparatų direktyvos (PPD) pakeitimas) turėjo nurodyto poveikio jūsų bendrovei? Atsakydami į šį klausimą atsižvelkite tik į poveikį, susijusį su KŽP reglamentu, o ne ekonomikos krize ar REACH reglamentu.</w:t>
      </w:r>
    </w:p>
    <w:p w:rsidR="004D6C95" w:rsidRPr="00986029" w:rsidRDefault="004D6C95" w:rsidP="004D6C95">
      <w:pPr>
        <w:pStyle w:val="Numbering"/>
        <w:numPr>
          <w:ilvl w:val="0"/>
          <w:numId w:val="0"/>
        </w:numPr>
        <w:spacing w:before="0"/>
      </w:pPr>
    </w:p>
    <w:tbl>
      <w:tblPr>
        <w:tblStyle w:val="TableGrid"/>
        <w:tblW w:w="0" w:type="auto"/>
        <w:tblInd w:w="108" w:type="dxa"/>
        <w:tblLook w:val="04A0" w:firstRow="1" w:lastRow="0" w:firstColumn="1" w:lastColumn="0" w:noHBand="0" w:noVBand="1"/>
      </w:tblPr>
      <w:tblGrid>
        <w:gridCol w:w="6804"/>
        <w:gridCol w:w="2268"/>
      </w:tblGrid>
      <w:tr w:rsidR="004D6C95" w:rsidRPr="00986029" w:rsidTr="00002C14">
        <w:tc>
          <w:tcPr>
            <w:tcW w:w="6804" w:type="dxa"/>
            <w:shd w:val="clear" w:color="auto" w:fill="569BBE"/>
          </w:tcPr>
          <w:p w:rsidR="004D6C95" w:rsidRPr="00986029" w:rsidRDefault="004D6C95" w:rsidP="002D60CD">
            <w:pPr>
              <w:pStyle w:val="Numbering"/>
              <w:numPr>
                <w:ilvl w:val="0"/>
                <w:numId w:val="0"/>
              </w:numPr>
              <w:spacing w:before="0"/>
              <w:rPr>
                <w:b/>
                <w:color w:val="FFFFFF" w:themeColor="background1"/>
                <w:sz w:val="20"/>
                <w:szCs w:val="20"/>
              </w:rPr>
            </w:pPr>
            <w:r w:rsidRPr="00986029">
              <w:rPr>
                <w:b/>
                <w:color w:val="FFFFFF" w:themeColor="background1"/>
                <w:sz w:val="20"/>
              </w:rPr>
              <w:t>Su KŽP reglamentu susijusi veikla</w:t>
            </w:r>
          </w:p>
        </w:tc>
        <w:tc>
          <w:tcPr>
            <w:tcW w:w="2268" w:type="dxa"/>
            <w:shd w:val="clear" w:color="auto" w:fill="569BBE"/>
          </w:tcPr>
          <w:p w:rsidR="004D6C95" w:rsidRPr="00986029" w:rsidRDefault="004D6C95" w:rsidP="002D60CD">
            <w:pPr>
              <w:pStyle w:val="Numbering"/>
              <w:numPr>
                <w:ilvl w:val="0"/>
                <w:numId w:val="0"/>
              </w:numPr>
              <w:spacing w:before="0"/>
              <w:jc w:val="center"/>
              <w:rPr>
                <w:b/>
                <w:color w:val="FFFFFF" w:themeColor="background1"/>
                <w:sz w:val="20"/>
                <w:szCs w:val="20"/>
              </w:rPr>
            </w:pPr>
            <w:r w:rsidRPr="00986029">
              <w:rPr>
                <w:b/>
                <w:color w:val="FFFFFF" w:themeColor="background1"/>
                <w:sz w:val="20"/>
              </w:rPr>
              <w:t xml:space="preserve">Pažymėkite varnele </w:t>
            </w:r>
            <w:r w:rsidRPr="00986029">
              <w:rPr>
                <w:b/>
                <w:color w:val="FFFFFF" w:themeColor="background1"/>
                <w:sz w:val="20"/>
              </w:rPr>
              <w:lastRenderedPageBreak/>
              <w:t>visus tinkamus atsakymus</w:t>
            </w:r>
          </w:p>
        </w:tc>
      </w:tr>
      <w:tr w:rsidR="004D6C95" w:rsidRPr="00986029" w:rsidTr="00002C14">
        <w:tc>
          <w:tcPr>
            <w:tcW w:w="6804" w:type="dxa"/>
          </w:tcPr>
          <w:p w:rsidR="004D6C95" w:rsidRPr="00986029" w:rsidRDefault="004D6C95" w:rsidP="002D60CD">
            <w:pPr>
              <w:pStyle w:val="Numbering"/>
              <w:numPr>
                <w:ilvl w:val="0"/>
                <w:numId w:val="0"/>
              </w:numPr>
              <w:spacing w:before="0"/>
              <w:rPr>
                <w:sz w:val="20"/>
                <w:szCs w:val="20"/>
              </w:rPr>
            </w:pPr>
            <w:r w:rsidRPr="00986029">
              <w:rPr>
                <w:sz w:val="20"/>
              </w:rPr>
              <w:lastRenderedPageBreak/>
              <w:t xml:space="preserve">Reikėjo įdarbinti naujų darbuotojų, siekiant įgyvendinti klasifikavimo ir ženklinimo reikalavimus </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4D6C95" w:rsidP="002D60CD">
            <w:pPr>
              <w:pStyle w:val="Numbering"/>
              <w:numPr>
                <w:ilvl w:val="0"/>
                <w:numId w:val="0"/>
              </w:numPr>
              <w:spacing w:before="0"/>
              <w:rPr>
                <w:sz w:val="20"/>
                <w:szCs w:val="20"/>
              </w:rPr>
            </w:pPr>
            <w:r w:rsidRPr="00986029">
              <w:rPr>
                <w:sz w:val="20"/>
              </w:rPr>
              <w:t xml:space="preserve">Trumpam padidėjo išlaidos </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002C14" w:rsidP="00002C14">
            <w:pPr>
              <w:pStyle w:val="Numbering"/>
              <w:numPr>
                <w:ilvl w:val="0"/>
                <w:numId w:val="0"/>
              </w:numPr>
              <w:spacing w:before="0"/>
              <w:rPr>
                <w:sz w:val="20"/>
                <w:szCs w:val="20"/>
              </w:rPr>
            </w:pPr>
            <w:r w:rsidRPr="00986029">
              <w:rPr>
                <w:sz w:val="20"/>
              </w:rPr>
              <w:t>Dėl geresnio suderinimo visoje ES padidėjo klientų bazė</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002C14" w:rsidP="002D60CD">
            <w:pPr>
              <w:pStyle w:val="Numbering"/>
              <w:numPr>
                <w:ilvl w:val="0"/>
                <w:numId w:val="0"/>
              </w:numPr>
              <w:spacing w:before="0"/>
              <w:rPr>
                <w:sz w:val="20"/>
                <w:szCs w:val="20"/>
              </w:rPr>
            </w:pPr>
            <w:r w:rsidRPr="00986029">
              <w:rPr>
                <w:sz w:val="20"/>
              </w:rPr>
              <w:t>Importavome daugiau produktų iš ES nepriklausančių šalių</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4D6C95" w:rsidP="00002C14">
            <w:pPr>
              <w:pStyle w:val="Numbering"/>
              <w:numPr>
                <w:ilvl w:val="0"/>
                <w:numId w:val="0"/>
              </w:numPr>
              <w:spacing w:before="0"/>
              <w:rPr>
                <w:sz w:val="20"/>
                <w:szCs w:val="20"/>
              </w:rPr>
            </w:pPr>
            <w:r w:rsidRPr="00986029">
              <w:rPr>
                <w:sz w:val="20"/>
              </w:rPr>
              <w:t xml:space="preserve">Dėl geresnio suderinimo pasaulyje padidėjo mūsų eksporto pajėgumai </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4D6C95" w:rsidP="00002C14">
            <w:pPr>
              <w:pStyle w:val="Numbering"/>
              <w:numPr>
                <w:ilvl w:val="0"/>
                <w:numId w:val="0"/>
              </w:numPr>
              <w:spacing w:before="0"/>
              <w:rPr>
                <w:sz w:val="20"/>
                <w:szCs w:val="20"/>
              </w:rPr>
            </w:pPr>
            <w:r w:rsidRPr="00986029">
              <w:rPr>
                <w:sz w:val="20"/>
              </w:rPr>
              <w:t>Dėl padidėjusios konkurencijos ES rinkoje sumažėjo pardavimo apimtis</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4D6C95" w:rsidP="002D60CD">
            <w:pPr>
              <w:pStyle w:val="Numbering"/>
              <w:numPr>
                <w:ilvl w:val="0"/>
                <w:numId w:val="0"/>
              </w:numPr>
              <w:spacing w:before="0"/>
              <w:rPr>
                <w:sz w:val="20"/>
                <w:szCs w:val="20"/>
              </w:rPr>
            </w:pPr>
            <w:r w:rsidRPr="00986029">
              <w:rPr>
                <w:sz w:val="20"/>
              </w:rPr>
              <w:t>Nė vienas iš nurodytų</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4D6C95" w:rsidP="002D60CD">
            <w:pPr>
              <w:pStyle w:val="Numbering"/>
              <w:numPr>
                <w:ilvl w:val="0"/>
                <w:numId w:val="0"/>
              </w:numPr>
              <w:spacing w:before="0"/>
              <w:rPr>
                <w:sz w:val="20"/>
                <w:szCs w:val="20"/>
              </w:rPr>
            </w:pPr>
            <w:r w:rsidRPr="00986029">
              <w:rPr>
                <w:sz w:val="20"/>
              </w:rPr>
              <w:t>Nežinau</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002C14">
        <w:tc>
          <w:tcPr>
            <w:tcW w:w="6804" w:type="dxa"/>
          </w:tcPr>
          <w:p w:rsidR="004D6C95" w:rsidRPr="00986029" w:rsidRDefault="004D6C95" w:rsidP="002D60CD">
            <w:pPr>
              <w:pStyle w:val="Numbering"/>
              <w:numPr>
                <w:ilvl w:val="0"/>
                <w:numId w:val="0"/>
              </w:numPr>
              <w:spacing w:before="0"/>
              <w:rPr>
                <w:sz w:val="20"/>
                <w:szCs w:val="20"/>
              </w:rPr>
            </w:pPr>
            <w:r w:rsidRPr="00986029">
              <w:rPr>
                <w:sz w:val="20"/>
              </w:rPr>
              <w:t>Kitas poveikis (nurodykite toliau pateiktame laukelyje)</w:t>
            </w:r>
          </w:p>
        </w:tc>
        <w:tc>
          <w:tcPr>
            <w:tcW w:w="2268" w:type="dxa"/>
          </w:tcPr>
          <w:p w:rsidR="004D6C95" w:rsidRPr="00986029" w:rsidRDefault="004D6C95" w:rsidP="002D60CD">
            <w:pPr>
              <w:pStyle w:val="Numbering"/>
              <w:numPr>
                <w:ilvl w:val="0"/>
                <w:numId w:val="0"/>
              </w:numPr>
              <w:spacing w:before="0"/>
              <w:rPr>
                <w:sz w:val="20"/>
                <w:szCs w:val="20"/>
              </w:rPr>
            </w:pPr>
          </w:p>
        </w:tc>
      </w:tr>
    </w:tbl>
    <w:p w:rsidR="00E23C77" w:rsidRPr="00986029" w:rsidRDefault="00E23C77" w:rsidP="00E23C77">
      <w:pPr>
        <w:pStyle w:val="Numbering"/>
        <w:numPr>
          <w:ilvl w:val="0"/>
          <w:numId w:val="0"/>
        </w:numPr>
        <w:ind w:left="360" w:hanging="360"/>
      </w:pPr>
    </w:p>
    <w:tbl>
      <w:tblPr>
        <w:tblStyle w:val="TableGrid"/>
        <w:tblW w:w="0" w:type="auto"/>
        <w:tblInd w:w="108" w:type="dxa"/>
        <w:tblLook w:val="04A0" w:firstRow="1" w:lastRow="0" w:firstColumn="1" w:lastColumn="0" w:noHBand="0" w:noVBand="1"/>
      </w:tblPr>
      <w:tblGrid>
        <w:gridCol w:w="9134"/>
      </w:tblGrid>
      <w:tr w:rsidR="00E23C77" w:rsidRPr="00986029" w:rsidTr="00E23C77">
        <w:tc>
          <w:tcPr>
            <w:tcW w:w="9134" w:type="dxa"/>
          </w:tcPr>
          <w:p w:rsidR="00E23C77" w:rsidRPr="00986029" w:rsidRDefault="00E23C77" w:rsidP="00D16A0D">
            <w:pPr>
              <w:pStyle w:val="ListParagraph"/>
              <w:ind w:left="0"/>
              <w:rPr>
                <w:i/>
                <w:sz w:val="20"/>
                <w:szCs w:val="20"/>
              </w:rPr>
            </w:pPr>
            <w:r w:rsidRPr="00986029">
              <w:rPr>
                <w:i/>
                <w:sz w:val="20"/>
              </w:rPr>
              <w:t>Pateikite daugiau informacijos</w:t>
            </w:r>
          </w:p>
        </w:tc>
      </w:tr>
    </w:tbl>
    <w:p w:rsidR="00E23C77" w:rsidRPr="00986029" w:rsidRDefault="00E23C77" w:rsidP="00E23C77">
      <w:pPr>
        <w:pStyle w:val="Numbering"/>
        <w:numPr>
          <w:ilvl w:val="0"/>
          <w:numId w:val="0"/>
        </w:numPr>
        <w:ind w:left="360" w:hanging="360"/>
      </w:pPr>
    </w:p>
    <w:p w:rsidR="004D6C95" w:rsidRPr="00986029" w:rsidRDefault="004D6C95" w:rsidP="004D6C95">
      <w:pPr>
        <w:pStyle w:val="Numbering"/>
      </w:pPr>
      <w:r w:rsidRPr="00986029">
        <w:t xml:space="preserve">Jei esate </w:t>
      </w:r>
      <w:r w:rsidRPr="00986029">
        <w:rPr>
          <w:u w:val="single"/>
        </w:rPr>
        <w:t>tolesnis cheminių medžiagų naudotojas</w:t>
      </w:r>
      <w:r w:rsidR="00986029">
        <w:rPr>
          <w:u w:val="single"/>
        </w:rPr>
        <w:t>,</w:t>
      </w:r>
      <w:r w:rsidRPr="00986029">
        <w:t xml:space="preserve"> ar KŽP reglamento įgyvendinimas turėjo nurodyto poveikio jūsų įmonei?</w:t>
      </w:r>
    </w:p>
    <w:p w:rsidR="004D6C95" w:rsidRPr="00986029" w:rsidRDefault="004D6C95" w:rsidP="004D6C95">
      <w:pPr>
        <w:pStyle w:val="Numbering"/>
        <w:numPr>
          <w:ilvl w:val="0"/>
          <w:numId w:val="0"/>
        </w:numPr>
        <w:spacing w:before="0"/>
      </w:pPr>
    </w:p>
    <w:tbl>
      <w:tblPr>
        <w:tblStyle w:val="TableGrid"/>
        <w:tblW w:w="0" w:type="auto"/>
        <w:tblInd w:w="108" w:type="dxa"/>
        <w:tblLook w:val="04A0" w:firstRow="1" w:lastRow="0" w:firstColumn="1" w:lastColumn="0" w:noHBand="0" w:noVBand="1"/>
      </w:tblPr>
      <w:tblGrid>
        <w:gridCol w:w="7088"/>
        <w:gridCol w:w="1984"/>
      </w:tblGrid>
      <w:tr w:rsidR="004D6C95" w:rsidRPr="00986029" w:rsidTr="002D60CD">
        <w:tc>
          <w:tcPr>
            <w:tcW w:w="7088" w:type="dxa"/>
            <w:shd w:val="clear" w:color="auto" w:fill="569BBE"/>
          </w:tcPr>
          <w:p w:rsidR="004D6C95" w:rsidRPr="00986029" w:rsidRDefault="004D6C95" w:rsidP="002D60CD">
            <w:pPr>
              <w:pStyle w:val="Numbering"/>
              <w:numPr>
                <w:ilvl w:val="0"/>
                <w:numId w:val="0"/>
              </w:numPr>
              <w:spacing w:before="0"/>
              <w:rPr>
                <w:b/>
                <w:color w:val="FFFFFF" w:themeColor="background1"/>
                <w:sz w:val="20"/>
                <w:szCs w:val="20"/>
              </w:rPr>
            </w:pPr>
            <w:r w:rsidRPr="00986029">
              <w:rPr>
                <w:b/>
                <w:color w:val="FFFFFF" w:themeColor="background1"/>
                <w:sz w:val="20"/>
              </w:rPr>
              <w:t>Su KŽP reglamentu susijusi veikla</w:t>
            </w:r>
          </w:p>
        </w:tc>
        <w:tc>
          <w:tcPr>
            <w:tcW w:w="1984" w:type="dxa"/>
            <w:shd w:val="clear" w:color="auto" w:fill="569BBE"/>
            <w:vAlign w:val="center"/>
          </w:tcPr>
          <w:p w:rsidR="004D6C95" w:rsidRPr="00986029" w:rsidRDefault="004D6C95" w:rsidP="002D60CD">
            <w:pPr>
              <w:pStyle w:val="Numbering"/>
              <w:numPr>
                <w:ilvl w:val="0"/>
                <w:numId w:val="0"/>
              </w:numPr>
              <w:spacing w:before="0"/>
              <w:jc w:val="center"/>
              <w:rPr>
                <w:b/>
                <w:color w:val="FFFFFF" w:themeColor="background1"/>
                <w:sz w:val="20"/>
                <w:szCs w:val="20"/>
              </w:rPr>
            </w:pPr>
            <w:r w:rsidRPr="00986029">
              <w:rPr>
                <w:b/>
                <w:color w:val="FFFFFF" w:themeColor="background1"/>
                <w:sz w:val="20"/>
              </w:rPr>
              <w:t>Pažymėkite varnele</w:t>
            </w:r>
          </w:p>
        </w:tc>
      </w:tr>
      <w:tr w:rsidR="004D6C95" w:rsidRPr="00986029" w:rsidTr="002D60CD">
        <w:tc>
          <w:tcPr>
            <w:tcW w:w="7088" w:type="dxa"/>
          </w:tcPr>
          <w:p w:rsidR="004D6C95" w:rsidRPr="00986029" w:rsidRDefault="004D6C95" w:rsidP="002D60CD">
            <w:pPr>
              <w:pStyle w:val="Numbering"/>
              <w:numPr>
                <w:ilvl w:val="0"/>
                <w:numId w:val="0"/>
              </w:numPr>
              <w:spacing w:before="0"/>
              <w:rPr>
                <w:sz w:val="20"/>
                <w:szCs w:val="20"/>
              </w:rPr>
            </w:pPr>
            <w:r w:rsidRPr="00986029">
              <w:rPr>
                <w:sz w:val="20"/>
              </w:rPr>
              <w:t>Reikėjo apmokyti darbuotojus, siekiant užtikrinti, kad jie suprastų naujas piktogramas ir pavojingumo bei atsargumo frazes</w:t>
            </w:r>
          </w:p>
        </w:tc>
        <w:tc>
          <w:tcPr>
            <w:tcW w:w="1984"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7088" w:type="dxa"/>
          </w:tcPr>
          <w:p w:rsidR="004D6C95" w:rsidRPr="00986029" w:rsidRDefault="004D6C95" w:rsidP="002D60CD">
            <w:pPr>
              <w:pStyle w:val="Numbering"/>
              <w:numPr>
                <w:ilvl w:val="0"/>
                <w:numId w:val="0"/>
              </w:numPr>
              <w:spacing w:before="0"/>
              <w:rPr>
                <w:sz w:val="20"/>
                <w:szCs w:val="20"/>
              </w:rPr>
            </w:pPr>
            <w:r w:rsidRPr="00986029">
              <w:rPr>
                <w:sz w:val="20"/>
              </w:rPr>
              <w:t xml:space="preserve">Padidėjo tiekėjų, teikiančių cheminius produktus ES rinkai, skaičius </w:t>
            </w:r>
          </w:p>
        </w:tc>
        <w:tc>
          <w:tcPr>
            <w:tcW w:w="1984"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7088" w:type="dxa"/>
          </w:tcPr>
          <w:p w:rsidR="004D6C95" w:rsidRPr="00986029" w:rsidRDefault="004D6C95" w:rsidP="002D60CD">
            <w:pPr>
              <w:pStyle w:val="Numbering"/>
              <w:numPr>
                <w:ilvl w:val="0"/>
                <w:numId w:val="0"/>
              </w:numPr>
              <w:spacing w:before="0"/>
              <w:rPr>
                <w:sz w:val="20"/>
                <w:szCs w:val="20"/>
              </w:rPr>
            </w:pPr>
            <w:r w:rsidRPr="00986029">
              <w:rPr>
                <w:sz w:val="20"/>
              </w:rPr>
              <w:t>Dėl padidėjusios konkurencijos sumažėjo cheminių produktų kaina</w:t>
            </w:r>
          </w:p>
        </w:tc>
        <w:tc>
          <w:tcPr>
            <w:tcW w:w="1984"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7088" w:type="dxa"/>
          </w:tcPr>
          <w:p w:rsidR="004D6C95" w:rsidRPr="00986029" w:rsidRDefault="004D6C95" w:rsidP="002D60CD">
            <w:pPr>
              <w:pStyle w:val="Numbering"/>
              <w:numPr>
                <w:ilvl w:val="0"/>
                <w:numId w:val="0"/>
              </w:numPr>
              <w:spacing w:before="0"/>
              <w:rPr>
                <w:sz w:val="20"/>
                <w:szCs w:val="20"/>
              </w:rPr>
            </w:pPr>
            <w:r w:rsidRPr="00986029">
              <w:rPr>
                <w:sz w:val="20"/>
              </w:rPr>
              <w:t>Dėl klasifikavimo pokyčių reikėjo peržiūrėti mūsų rizikos vertinimus pagal Cheminių veiksnių direktyvą (Direktyva 98/24/EB)</w:t>
            </w:r>
          </w:p>
        </w:tc>
        <w:tc>
          <w:tcPr>
            <w:tcW w:w="1984"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7088" w:type="dxa"/>
          </w:tcPr>
          <w:p w:rsidR="004D6C95" w:rsidRPr="00986029" w:rsidRDefault="004D6C95" w:rsidP="0055232F">
            <w:pPr>
              <w:pStyle w:val="Numbering"/>
              <w:numPr>
                <w:ilvl w:val="0"/>
                <w:numId w:val="0"/>
              </w:numPr>
              <w:spacing w:before="0"/>
              <w:rPr>
                <w:sz w:val="20"/>
                <w:szCs w:val="20"/>
              </w:rPr>
            </w:pPr>
            <w:r w:rsidRPr="00986029">
              <w:rPr>
                <w:sz w:val="20"/>
              </w:rPr>
              <w:t>Reikėjo pakartotinai ženklinti mūsų produktus</w:t>
            </w:r>
          </w:p>
        </w:tc>
        <w:tc>
          <w:tcPr>
            <w:tcW w:w="1984"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7088" w:type="dxa"/>
          </w:tcPr>
          <w:p w:rsidR="004D6C95" w:rsidRPr="00986029" w:rsidRDefault="004D6C95" w:rsidP="007312F9">
            <w:pPr>
              <w:pStyle w:val="Numbering"/>
              <w:numPr>
                <w:ilvl w:val="0"/>
                <w:numId w:val="0"/>
              </w:numPr>
              <w:spacing w:before="0"/>
              <w:rPr>
                <w:sz w:val="20"/>
                <w:szCs w:val="20"/>
              </w:rPr>
            </w:pPr>
            <w:r w:rsidRPr="00986029">
              <w:rPr>
                <w:sz w:val="20"/>
              </w:rPr>
              <w:t>Reikėjo imtis veiksmų pagal kitus teisės aktus (pvz., Seveso direktyvos reikalavimai)</w:t>
            </w:r>
          </w:p>
        </w:tc>
        <w:tc>
          <w:tcPr>
            <w:tcW w:w="1984"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7088" w:type="dxa"/>
          </w:tcPr>
          <w:p w:rsidR="004D6C95" w:rsidRPr="00986029" w:rsidRDefault="00C93C24" w:rsidP="00C93C24">
            <w:pPr>
              <w:pStyle w:val="Numbering"/>
              <w:numPr>
                <w:ilvl w:val="0"/>
                <w:numId w:val="0"/>
              </w:numPr>
              <w:spacing w:before="0"/>
              <w:rPr>
                <w:sz w:val="20"/>
                <w:szCs w:val="20"/>
              </w:rPr>
            </w:pPr>
            <w:r w:rsidRPr="00986029">
              <w:rPr>
                <w:sz w:val="20"/>
              </w:rPr>
              <w:t>Nė vienas iš nurodytų</w:t>
            </w:r>
          </w:p>
        </w:tc>
        <w:tc>
          <w:tcPr>
            <w:tcW w:w="1984" w:type="dxa"/>
          </w:tcPr>
          <w:p w:rsidR="004D6C95" w:rsidRPr="00986029" w:rsidRDefault="004D6C95" w:rsidP="002D60CD">
            <w:pPr>
              <w:pStyle w:val="Numbering"/>
              <w:numPr>
                <w:ilvl w:val="0"/>
                <w:numId w:val="0"/>
              </w:numPr>
              <w:spacing w:before="0"/>
              <w:rPr>
                <w:sz w:val="20"/>
                <w:szCs w:val="20"/>
              </w:rPr>
            </w:pPr>
          </w:p>
        </w:tc>
      </w:tr>
      <w:tr w:rsidR="00C93C24" w:rsidRPr="00986029" w:rsidTr="002D60CD">
        <w:tc>
          <w:tcPr>
            <w:tcW w:w="7088" w:type="dxa"/>
          </w:tcPr>
          <w:p w:rsidR="00C93C24" w:rsidRPr="00986029" w:rsidRDefault="00C93C24" w:rsidP="002D60CD">
            <w:pPr>
              <w:pStyle w:val="Numbering"/>
              <w:numPr>
                <w:ilvl w:val="0"/>
                <w:numId w:val="0"/>
              </w:numPr>
              <w:spacing w:before="0"/>
              <w:rPr>
                <w:sz w:val="20"/>
                <w:szCs w:val="20"/>
              </w:rPr>
            </w:pPr>
            <w:r w:rsidRPr="00986029">
              <w:rPr>
                <w:sz w:val="20"/>
              </w:rPr>
              <w:t>Kita (nurodykite toliau)</w:t>
            </w:r>
          </w:p>
        </w:tc>
        <w:tc>
          <w:tcPr>
            <w:tcW w:w="1984" w:type="dxa"/>
          </w:tcPr>
          <w:p w:rsidR="00C93C24" w:rsidRPr="00986029" w:rsidRDefault="00C93C24" w:rsidP="002D60CD">
            <w:pPr>
              <w:pStyle w:val="Numbering"/>
              <w:numPr>
                <w:ilvl w:val="0"/>
                <w:numId w:val="0"/>
              </w:numPr>
              <w:spacing w:before="0"/>
              <w:rPr>
                <w:sz w:val="20"/>
                <w:szCs w:val="20"/>
              </w:rPr>
            </w:pPr>
          </w:p>
        </w:tc>
      </w:tr>
      <w:tr w:rsidR="004D6C95" w:rsidRPr="00986029" w:rsidTr="002D60CD">
        <w:tc>
          <w:tcPr>
            <w:tcW w:w="7088" w:type="dxa"/>
          </w:tcPr>
          <w:p w:rsidR="004D6C95" w:rsidRPr="00986029" w:rsidRDefault="004D6C95" w:rsidP="002D60CD">
            <w:pPr>
              <w:pStyle w:val="Numbering"/>
              <w:numPr>
                <w:ilvl w:val="0"/>
                <w:numId w:val="0"/>
              </w:numPr>
              <w:spacing w:before="0"/>
              <w:rPr>
                <w:sz w:val="20"/>
                <w:szCs w:val="20"/>
              </w:rPr>
            </w:pPr>
            <w:r w:rsidRPr="00986029">
              <w:rPr>
                <w:sz w:val="20"/>
              </w:rPr>
              <w:t>Nežinau</w:t>
            </w:r>
          </w:p>
        </w:tc>
        <w:tc>
          <w:tcPr>
            <w:tcW w:w="1984" w:type="dxa"/>
          </w:tcPr>
          <w:p w:rsidR="004D6C95" w:rsidRPr="00986029" w:rsidRDefault="004D6C95" w:rsidP="002D60CD">
            <w:pPr>
              <w:pStyle w:val="Numbering"/>
              <w:numPr>
                <w:ilvl w:val="0"/>
                <w:numId w:val="0"/>
              </w:numPr>
              <w:spacing w:before="0"/>
              <w:rPr>
                <w:sz w:val="20"/>
                <w:szCs w:val="20"/>
              </w:rPr>
            </w:pPr>
          </w:p>
        </w:tc>
      </w:tr>
    </w:tbl>
    <w:p w:rsidR="004D6C95" w:rsidRPr="00986029" w:rsidRDefault="004D6C95" w:rsidP="004D6C95"/>
    <w:tbl>
      <w:tblPr>
        <w:tblStyle w:val="TableGrid"/>
        <w:tblW w:w="0" w:type="auto"/>
        <w:tblInd w:w="108" w:type="dxa"/>
        <w:tblLook w:val="04A0" w:firstRow="1" w:lastRow="0" w:firstColumn="1" w:lastColumn="0" w:noHBand="0" w:noVBand="1"/>
      </w:tblPr>
      <w:tblGrid>
        <w:gridCol w:w="9072"/>
      </w:tblGrid>
      <w:tr w:rsidR="004D6C95" w:rsidRPr="00986029" w:rsidTr="002D60CD">
        <w:tc>
          <w:tcPr>
            <w:tcW w:w="9072" w:type="dxa"/>
          </w:tcPr>
          <w:p w:rsidR="004D6C95" w:rsidRPr="00986029" w:rsidRDefault="004D6C95" w:rsidP="002D60CD">
            <w:pPr>
              <w:pStyle w:val="ListParagraph"/>
              <w:ind w:left="0"/>
              <w:rPr>
                <w:i/>
                <w:sz w:val="20"/>
                <w:szCs w:val="20"/>
              </w:rPr>
            </w:pPr>
            <w:r w:rsidRPr="00986029">
              <w:rPr>
                <w:i/>
                <w:sz w:val="20"/>
              </w:rPr>
              <w:t>Pateikite daugiau informacijos</w:t>
            </w:r>
          </w:p>
          <w:p w:rsidR="004D6C95" w:rsidRPr="00986029" w:rsidRDefault="004D6C95" w:rsidP="002D60CD">
            <w:pPr>
              <w:pStyle w:val="ListParagraph"/>
              <w:ind w:left="0"/>
            </w:pPr>
          </w:p>
        </w:tc>
      </w:tr>
    </w:tbl>
    <w:p w:rsidR="0058169B" w:rsidRPr="00986029" w:rsidRDefault="00C93C24" w:rsidP="0058169B">
      <w:pPr>
        <w:numPr>
          <w:ilvl w:val="0"/>
          <w:numId w:val="2"/>
        </w:numPr>
        <w:spacing w:before="240" w:after="240"/>
        <w:ind w:left="357" w:hanging="357"/>
        <w:rPr>
          <w:szCs w:val="24"/>
        </w:rPr>
      </w:pPr>
      <w:r w:rsidRPr="00986029">
        <w:t>Pagal KŽP reglamentą Europos cheminių medžiagų agentūra (ECHA) gauna pasiūlymus dėl suderinto cheminių medžiagų klasifikavimo. Prieš priimdama savo nuomonę ji taip pat konsultuojasi su suinteresuotosiomis šalimis. Ar kada nors esate pateikę pasiūlymą Europos cheminių medžiagų agentūrai arba dalyvavę viešose ECHA konsultacijose?</w:t>
      </w:r>
    </w:p>
    <w:tbl>
      <w:tblPr>
        <w:tblStyle w:val="TableGrid"/>
        <w:tblW w:w="0" w:type="auto"/>
        <w:tblInd w:w="108" w:type="dxa"/>
        <w:tblLook w:val="04A0" w:firstRow="1" w:lastRow="0" w:firstColumn="1" w:lastColumn="0" w:noHBand="0" w:noVBand="1"/>
      </w:tblPr>
      <w:tblGrid>
        <w:gridCol w:w="847"/>
        <w:gridCol w:w="3991"/>
        <w:gridCol w:w="4296"/>
      </w:tblGrid>
      <w:tr w:rsidR="0058169B" w:rsidRPr="00986029" w:rsidTr="00635817">
        <w:tc>
          <w:tcPr>
            <w:tcW w:w="847" w:type="dxa"/>
            <w:shd w:val="clear" w:color="auto" w:fill="569BBE"/>
          </w:tcPr>
          <w:p w:rsidR="0058169B" w:rsidRPr="00986029" w:rsidRDefault="0058169B" w:rsidP="00635817">
            <w:pPr>
              <w:pStyle w:val="Numbering"/>
              <w:numPr>
                <w:ilvl w:val="0"/>
                <w:numId w:val="0"/>
              </w:numPr>
              <w:spacing w:before="0"/>
              <w:rPr>
                <w:b/>
                <w:color w:val="FFFFFF" w:themeColor="background1"/>
                <w:sz w:val="20"/>
              </w:rPr>
            </w:pPr>
          </w:p>
        </w:tc>
        <w:tc>
          <w:tcPr>
            <w:tcW w:w="3991" w:type="dxa"/>
            <w:shd w:val="clear" w:color="auto" w:fill="569BBE"/>
          </w:tcPr>
          <w:p w:rsidR="0058169B" w:rsidRPr="00986029" w:rsidRDefault="0058169B" w:rsidP="00635817">
            <w:pPr>
              <w:pStyle w:val="Numbering"/>
              <w:numPr>
                <w:ilvl w:val="0"/>
                <w:numId w:val="0"/>
              </w:numPr>
              <w:spacing w:before="0"/>
              <w:jc w:val="center"/>
              <w:rPr>
                <w:b/>
                <w:color w:val="FFFFFF" w:themeColor="background1"/>
                <w:sz w:val="20"/>
              </w:rPr>
            </w:pPr>
            <w:r w:rsidRPr="00986029">
              <w:rPr>
                <w:b/>
                <w:color w:val="FFFFFF" w:themeColor="background1"/>
                <w:sz w:val="20"/>
              </w:rPr>
              <w:t>Esame pateikę pasiūlymą ECHA</w:t>
            </w:r>
          </w:p>
        </w:tc>
        <w:tc>
          <w:tcPr>
            <w:tcW w:w="4296" w:type="dxa"/>
            <w:shd w:val="clear" w:color="auto" w:fill="569BBE"/>
          </w:tcPr>
          <w:p w:rsidR="0058169B" w:rsidRPr="00986029" w:rsidRDefault="0058169B" w:rsidP="00635817">
            <w:pPr>
              <w:pStyle w:val="Numbering"/>
              <w:numPr>
                <w:ilvl w:val="0"/>
                <w:numId w:val="0"/>
              </w:numPr>
              <w:spacing w:before="0"/>
              <w:jc w:val="center"/>
              <w:rPr>
                <w:b/>
                <w:color w:val="FFFFFF" w:themeColor="background1"/>
                <w:sz w:val="20"/>
              </w:rPr>
            </w:pPr>
            <w:r w:rsidRPr="00986029">
              <w:rPr>
                <w:b/>
                <w:color w:val="FFFFFF" w:themeColor="background1"/>
                <w:sz w:val="20"/>
              </w:rPr>
              <w:t>Esame dalyvavę viešose ECHA konsultacijose</w:t>
            </w:r>
          </w:p>
        </w:tc>
      </w:tr>
      <w:tr w:rsidR="0058169B" w:rsidRPr="00986029" w:rsidTr="00635817">
        <w:tc>
          <w:tcPr>
            <w:tcW w:w="847" w:type="dxa"/>
            <w:shd w:val="clear" w:color="auto" w:fill="569BBE"/>
          </w:tcPr>
          <w:p w:rsidR="0058169B" w:rsidRPr="00986029" w:rsidRDefault="0058169B" w:rsidP="00635817">
            <w:pPr>
              <w:pStyle w:val="Numbering"/>
              <w:numPr>
                <w:ilvl w:val="0"/>
                <w:numId w:val="0"/>
              </w:numPr>
              <w:spacing w:before="0"/>
              <w:rPr>
                <w:b/>
                <w:color w:val="FFFFFF" w:themeColor="background1"/>
                <w:sz w:val="20"/>
              </w:rPr>
            </w:pPr>
            <w:r w:rsidRPr="00986029">
              <w:rPr>
                <w:b/>
                <w:color w:val="FFFFFF" w:themeColor="background1"/>
                <w:sz w:val="20"/>
              </w:rPr>
              <w:t>Taip</w:t>
            </w:r>
          </w:p>
        </w:tc>
        <w:tc>
          <w:tcPr>
            <w:tcW w:w="3991" w:type="dxa"/>
          </w:tcPr>
          <w:p w:rsidR="0058169B" w:rsidRPr="00986029" w:rsidRDefault="0058169B" w:rsidP="00635817">
            <w:pPr>
              <w:pStyle w:val="Numbering"/>
              <w:numPr>
                <w:ilvl w:val="0"/>
                <w:numId w:val="0"/>
              </w:numPr>
              <w:spacing w:before="0"/>
            </w:pPr>
          </w:p>
        </w:tc>
        <w:tc>
          <w:tcPr>
            <w:tcW w:w="4296" w:type="dxa"/>
          </w:tcPr>
          <w:p w:rsidR="0058169B" w:rsidRPr="00986029" w:rsidRDefault="0058169B" w:rsidP="00635817">
            <w:pPr>
              <w:pStyle w:val="Numbering"/>
              <w:numPr>
                <w:ilvl w:val="0"/>
                <w:numId w:val="0"/>
              </w:numPr>
              <w:spacing w:before="0"/>
            </w:pPr>
          </w:p>
        </w:tc>
      </w:tr>
      <w:tr w:rsidR="0058169B" w:rsidRPr="00986029" w:rsidTr="00635817">
        <w:tc>
          <w:tcPr>
            <w:tcW w:w="847" w:type="dxa"/>
            <w:shd w:val="clear" w:color="auto" w:fill="569BBE"/>
          </w:tcPr>
          <w:p w:rsidR="0058169B" w:rsidRPr="00986029" w:rsidRDefault="0058169B" w:rsidP="00635817">
            <w:pPr>
              <w:pStyle w:val="Numbering"/>
              <w:numPr>
                <w:ilvl w:val="0"/>
                <w:numId w:val="0"/>
              </w:numPr>
              <w:spacing w:before="0"/>
              <w:rPr>
                <w:b/>
                <w:color w:val="FFFFFF" w:themeColor="background1"/>
                <w:sz w:val="20"/>
              </w:rPr>
            </w:pPr>
            <w:r w:rsidRPr="00986029">
              <w:rPr>
                <w:b/>
                <w:color w:val="FFFFFF" w:themeColor="background1"/>
                <w:sz w:val="20"/>
              </w:rPr>
              <w:t>Ne</w:t>
            </w:r>
          </w:p>
        </w:tc>
        <w:tc>
          <w:tcPr>
            <w:tcW w:w="3991" w:type="dxa"/>
          </w:tcPr>
          <w:p w:rsidR="0058169B" w:rsidRPr="00986029" w:rsidRDefault="0058169B" w:rsidP="00635817">
            <w:pPr>
              <w:pStyle w:val="Numbering"/>
              <w:numPr>
                <w:ilvl w:val="0"/>
                <w:numId w:val="0"/>
              </w:numPr>
              <w:spacing w:before="0"/>
            </w:pPr>
          </w:p>
        </w:tc>
        <w:tc>
          <w:tcPr>
            <w:tcW w:w="4296" w:type="dxa"/>
          </w:tcPr>
          <w:p w:rsidR="0058169B" w:rsidRPr="00986029" w:rsidRDefault="0058169B" w:rsidP="00635817">
            <w:pPr>
              <w:pStyle w:val="Numbering"/>
              <w:numPr>
                <w:ilvl w:val="0"/>
                <w:numId w:val="0"/>
              </w:numPr>
              <w:spacing w:before="0"/>
            </w:pPr>
          </w:p>
        </w:tc>
      </w:tr>
      <w:tr w:rsidR="0058169B" w:rsidRPr="00986029" w:rsidTr="00635817">
        <w:tc>
          <w:tcPr>
            <w:tcW w:w="9134" w:type="dxa"/>
            <w:gridSpan w:val="3"/>
          </w:tcPr>
          <w:p w:rsidR="0058169B" w:rsidRPr="00986029" w:rsidRDefault="0058169B" w:rsidP="0058169B">
            <w:pPr>
              <w:pStyle w:val="Numbering"/>
              <w:numPr>
                <w:ilvl w:val="0"/>
                <w:numId w:val="0"/>
              </w:numPr>
              <w:spacing w:before="0"/>
            </w:pPr>
            <w:r w:rsidRPr="00986029">
              <w:t>Pateikite papildomų pastabų dėl šių procesų prieinamumo MVĮ:</w:t>
            </w:r>
          </w:p>
          <w:p w:rsidR="00E977A1" w:rsidRPr="00986029" w:rsidRDefault="00E977A1" w:rsidP="0058169B">
            <w:pPr>
              <w:pStyle w:val="Numbering"/>
              <w:numPr>
                <w:ilvl w:val="0"/>
                <w:numId w:val="0"/>
              </w:numPr>
              <w:spacing w:before="0"/>
            </w:pPr>
          </w:p>
        </w:tc>
      </w:tr>
    </w:tbl>
    <w:p w:rsidR="004D02F8" w:rsidRPr="00986029" w:rsidRDefault="004D02F8" w:rsidP="004D02F8">
      <w:pPr>
        <w:pStyle w:val="Numbering"/>
      </w:pPr>
      <w:r w:rsidRPr="00986029">
        <w:t xml:space="preserve">Ar jūsų bendrovė kasmet patiria dideles išlaidas laikydamasi KŽP reglamento ar kitų cheminių medžiagų teisės aktų (išskyrus REACH reglamentą)? Jei taip, nurodykite, kokio pobūdžio išlaidas patiria jūsų bendrovė. Prašytume nurodyti įvairių rūšių išlaidas pagal svarbą nuo svarbiausių (1) iki mažiausiai svarbių. </w:t>
      </w:r>
    </w:p>
    <w:p w:rsidR="004D02F8" w:rsidRPr="00986029" w:rsidRDefault="004D02F8" w:rsidP="004D02F8">
      <w:pPr>
        <w:pStyle w:val="ListParagraph"/>
      </w:pPr>
    </w:p>
    <w:tbl>
      <w:tblPr>
        <w:tblStyle w:val="TableGrid"/>
        <w:tblW w:w="0" w:type="auto"/>
        <w:tblInd w:w="108" w:type="dxa"/>
        <w:tblLook w:val="04A0" w:firstRow="1" w:lastRow="0" w:firstColumn="1" w:lastColumn="0" w:noHBand="0" w:noVBand="1"/>
      </w:tblPr>
      <w:tblGrid>
        <w:gridCol w:w="5438"/>
        <w:gridCol w:w="1651"/>
        <w:gridCol w:w="2045"/>
      </w:tblGrid>
      <w:tr w:rsidR="000F6428" w:rsidRPr="00986029" w:rsidTr="000F6428">
        <w:tc>
          <w:tcPr>
            <w:tcW w:w="5438" w:type="dxa"/>
            <w:shd w:val="clear" w:color="auto" w:fill="569BBE"/>
          </w:tcPr>
          <w:p w:rsidR="000F6428" w:rsidRPr="00986029" w:rsidRDefault="000F6428" w:rsidP="00EB4A1F">
            <w:pPr>
              <w:pStyle w:val="ListParagraph"/>
              <w:ind w:left="0"/>
              <w:rPr>
                <w:b/>
                <w:color w:val="FFFFFF" w:themeColor="background1"/>
                <w:sz w:val="20"/>
              </w:rPr>
            </w:pPr>
            <w:r w:rsidRPr="00986029">
              <w:rPr>
                <w:b/>
                <w:color w:val="FFFFFF" w:themeColor="background1"/>
                <w:sz w:val="20"/>
              </w:rPr>
              <w:lastRenderedPageBreak/>
              <w:t>Išlaidų rūšys</w:t>
            </w:r>
          </w:p>
        </w:tc>
        <w:tc>
          <w:tcPr>
            <w:tcW w:w="1651" w:type="dxa"/>
            <w:shd w:val="clear" w:color="auto" w:fill="569BBE"/>
          </w:tcPr>
          <w:p w:rsidR="000F6428" w:rsidRPr="00986029" w:rsidRDefault="000F6428" w:rsidP="00EB4A1F">
            <w:pPr>
              <w:pStyle w:val="ListParagraph"/>
              <w:ind w:left="0"/>
              <w:rPr>
                <w:b/>
                <w:color w:val="FFFFFF" w:themeColor="background1"/>
                <w:sz w:val="20"/>
              </w:rPr>
            </w:pPr>
            <w:r w:rsidRPr="00986029">
              <w:rPr>
                <w:b/>
                <w:color w:val="FFFFFF" w:themeColor="background1"/>
                <w:sz w:val="20"/>
              </w:rPr>
              <w:t>Pažymėkite varnele visus tinkamus atsakymus</w:t>
            </w:r>
          </w:p>
        </w:tc>
        <w:tc>
          <w:tcPr>
            <w:tcW w:w="2045" w:type="dxa"/>
            <w:shd w:val="clear" w:color="auto" w:fill="569BBE"/>
          </w:tcPr>
          <w:p w:rsidR="000F6428" w:rsidRPr="00986029" w:rsidRDefault="00E356F0" w:rsidP="00EB4A1F">
            <w:pPr>
              <w:pStyle w:val="ListParagraph"/>
              <w:ind w:left="0"/>
              <w:rPr>
                <w:b/>
                <w:color w:val="FFFFFF" w:themeColor="background1"/>
                <w:sz w:val="20"/>
              </w:rPr>
            </w:pPr>
            <w:r w:rsidRPr="00986029">
              <w:rPr>
                <w:b/>
                <w:color w:val="FFFFFF" w:themeColor="background1"/>
                <w:sz w:val="20"/>
              </w:rPr>
              <w:t>Svarba (1 = didžiausios)</w:t>
            </w:r>
          </w:p>
        </w:tc>
      </w:tr>
      <w:tr w:rsidR="000F6428" w:rsidRPr="00986029" w:rsidTr="000F6428">
        <w:tc>
          <w:tcPr>
            <w:tcW w:w="5438" w:type="dxa"/>
          </w:tcPr>
          <w:p w:rsidR="000F6428" w:rsidRPr="00986029" w:rsidRDefault="000F6428" w:rsidP="004D02F8">
            <w:pPr>
              <w:pStyle w:val="ListParagraph"/>
              <w:ind w:left="0"/>
              <w:rPr>
                <w:sz w:val="20"/>
              </w:rPr>
            </w:pPr>
            <w:r w:rsidRPr="00986029">
              <w:rPr>
                <w:sz w:val="20"/>
              </w:rPr>
              <w:t>KŽP reglamento cheminių medžiagų ir mišinių klasifikavimo reikalavimai</w:t>
            </w:r>
          </w:p>
        </w:tc>
        <w:tc>
          <w:tcPr>
            <w:tcW w:w="1651" w:type="dxa"/>
          </w:tcPr>
          <w:p w:rsidR="000F6428" w:rsidRPr="00986029" w:rsidRDefault="000F6428" w:rsidP="00EB4A1F">
            <w:pPr>
              <w:pStyle w:val="ListParagraph"/>
              <w:ind w:left="0"/>
              <w:rPr>
                <w:sz w:val="20"/>
              </w:rPr>
            </w:pPr>
          </w:p>
        </w:tc>
        <w:tc>
          <w:tcPr>
            <w:tcW w:w="2045" w:type="dxa"/>
          </w:tcPr>
          <w:p w:rsidR="000F6428" w:rsidRPr="00986029" w:rsidRDefault="000F6428" w:rsidP="00EB4A1F">
            <w:pPr>
              <w:pStyle w:val="ListParagraph"/>
              <w:ind w:left="0"/>
              <w:rPr>
                <w:sz w:val="20"/>
              </w:rPr>
            </w:pPr>
          </w:p>
        </w:tc>
      </w:tr>
      <w:tr w:rsidR="000F6428" w:rsidRPr="00986029" w:rsidTr="000F6428">
        <w:tc>
          <w:tcPr>
            <w:tcW w:w="5438" w:type="dxa"/>
          </w:tcPr>
          <w:p w:rsidR="000F6428" w:rsidRPr="00986029" w:rsidRDefault="000F6428" w:rsidP="00EB4A1F">
            <w:pPr>
              <w:pStyle w:val="ListParagraph"/>
              <w:ind w:left="0"/>
              <w:rPr>
                <w:sz w:val="20"/>
              </w:rPr>
            </w:pPr>
            <w:r w:rsidRPr="00986029">
              <w:rPr>
                <w:sz w:val="20"/>
              </w:rPr>
              <w:t>KŽP reglamento ženklinimo ir pakavimo reikalavimų laikymasis</w:t>
            </w:r>
          </w:p>
        </w:tc>
        <w:tc>
          <w:tcPr>
            <w:tcW w:w="1651" w:type="dxa"/>
          </w:tcPr>
          <w:p w:rsidR="000F6428" w:rsidRPr="00986029" w:rsidRDefault="000F6428" w:rsidP="00EB4A1F">
            <w:pPr>
              <w:pStyle w:val="ListParagraph"/>
              <w:ind w:left="0"/>
              <w:rPr>
                <w:sz w:val="20"/>
              </w:rPr>
            </w:pPr>
          </w:p>
        </w:tc>
        <w:tc>
          <w:tcPr>
            <w:tcW w:w="2045" w:type="dxa"/>
          </w:tcPr>
          <w:p w:rsidR="000F6428" w:rsidRPr="00986029" w:rsidRDefault="000F6428" w:rsidP="00EB4A1F">
            <w:pPr>
              <w:pStyle w:val="ListParagraph"/>
              <w:ind w:left="0"/>
              <w:rPr>
                <w:sz w:val="20"/>
              </w:rPr>
            </w:pPr>
          </w:p>
        </w:tc>
      </w:tr>
      <w:tr w:rsidR="000F6428" w:rsidRPr="00986029" w:rsidTr="000F6428">
        <w:tc>
          <w:tcPr>
            <w:tcW w:w="5438" w:type="dxa"/>
          </w:tcPr>
          <w:p w:rsidR="000F6428" w:rsidRPr="00986029" w:rsidRDefault="000F6428" w:rsidP="004D02F8">
            <w:pPr>
              <w:pStyle w:val="ListParagraph"/>
              <w:ind w:left="0"/>
              <w:rPr>
                <w:sz w:val="20"/>
              </w:rPr>
            </w:pPr>
            <w:r w:rsidRPr="00986029">
              <w:rPr>
                <w:sz w:val="20"/>
              </w:rPr>
              <w:t>Kitų cheminių medžiagų teisės aktų (išskyrus KŽP arba REACH reglamentą) laikymasis</w:t>
            </w:r>
          </w:p>
        </w:tc>
        <w:tc>
          <w:tcPr>
            <w:tcW w:w="1651" w:type="dxa"/>
          </w:tcPr>
          <w:p w:rsidR="000F6428" w:rsidRPr="00986029" w:rsidRDefault="000F6428" w:rsidP="00EB4A1F">
            <w:pPr>
              <w:pStyle w:val="ListParagraph"/>
              <w:ind w:left="0"/>
              <w:rPr>
                <w:sz w:val="20"/>
              </w:rPr>
            </w:pPr>
          </w:p>
        </w:tc>
        <w:tc>
          <w:tcPr>
            <w:tcW w:w="2045" w:type="dxa"/>
          </w:tcPr>
          <w:p w:rsidR="000F6428" w:rsidRPr="00986029" w:rsidRDefault="000F6428" w:rsidP="00EB4A1F">
            <w:pPr>
              <w:pStyle w:val="ListParagraph"/>
              <w:ind w:left="0"/>
              <w:rPr>
                <w:sz w:val="20"/>
              </w:rPr>
            </w:pPr>
          </w:p>
        </w:tc>
      </w:tr>
      <w:tr w:rsidR="000F6428" w:rsidRPr="00986029" w:rsidTr="000F6428">
        <w:tc>
          <w:tcPr>
            <w:tcW w:w="5438" w:type="dxa"/>
          </w:tcPr>
          <w:p w:rsidR="000F6428" w:rsidRPr="00986029" w:rsidRDefault="000F6428" w:rsidP="00D02731">
            <w:pPr>
              <w:pStyle w:val="ListParagraph"/>
              <w:ind w:left="0"/>
              <w:rPr>
                <w:sz w:val="20"/>
              </w:rPr>
            </w:pPr>
            <w:r w:rsidRPr="00986029">
              <w:rPr>
                <w:sz w:val="20"/>
              </w:rPr>
              <w:t>Laboratoriniai bandymai, kuriuos reikalaujama atlikti pagal kitus cheminių medžiagų teisės aktus (išskyrus REACH reglamentą)</w:t>
            </w:r>
          </w:p>
        </w:tc>
        <w:tc>
          <w:tcPr>
            <w:tcW w:w="1651" w:type="dxa"/>
          </w:tcPr>
          <w:p w:rsidR="000F6428" w:rsidRPr="00986029" w:rsidRDefault="000F6428" w:rsidP="00EB4A1F">
            <w:pPr>
              <w:pStyle w:val="ListParagraph"/>
              <w:ind w:left="0"/>
              <w:rPr>
                <w:sz w:val="20"/>
              </w:rPr>
            </w:pPr>
          </w:p>
        </w:tc>
        <w:tc>
          <w:tcPr>
            <w:tcW w:w="2045" w:type="dxa"/>
          </w:tcPr>
          <w:p w:rsidR="000F6428" w:rsidRPr="00986029" w:rsidRDefault="000F6428" w:rsidP="00EB4A1F">
            <w:pPr>
              <w:pStyle w:val="ListParagraph"/>
              <w:ind w:left="0"/>
              <w:rPr>
                <w:sz w:val="20"/>
              </w:rPr>
            </w:pPr>
          </w:p>
        </w:tc>
      </w:tr>
      <w:tr w:rsidR="000F6428" w:rsidRPr="00986029" w:rsidTr="000F6428">
        <w:tc>
          <w:tcPr>
            <w:tcW w:w="5438" w:type="dxa"/>
          </w:tcPr>
          <w:p w:rsidR="000F6428" w:rsidRPr="00986029" w:rsidRDefault="000F6428" w:rsidP="00EB4A1F">
            <w:pPr>
              <w:pStyle w:val="ListParagraph"/>
              <w:ind w:left="0"/>
              <w:rPr>
                <w:sz w:val="20"/>
              </w:rPr>
            </w:pPr>
            <w:r w:rsidRPr="00986029">
              <w:rPr>
                <w:sz w:val="20"/>
              </w:rPr>
              <w:t>Išlaidos, siekiant suprasti pasikeitusius teisinius reikalavimus ir atnaujinti informaciją</w:t>
            </w:r>
          </w:p>
        </w:tc>
        <w:tc>
          <w:tcPr>
            <w:tcW w:w="1651" w:type="dxa"/>
          </w:tcPr>
          <w:p w:rsidR="000F6428" w:rsidRPr="00986029" w:rsidRDefault="000F6428" w:rsidP="00EB4A1F">
            <w:pPr>
              <w:pStyle w:val="ListParagraph"/>
              <w:ind w:left="0"/>
              <w:rPr>
                <w:sz w:val="20"/>
              </w:rPr>
            </w:pPr>
          </w:p>
        </w:tc>
        <w:tc>
          <w:tcPr>
            <w:tcW w:w="2045" w:type="dxa"/>
          </w:tcPr>
          <w:p w:rsidR="000F6428" w:rsidRPr="00986029" w:rsidRDefault="000F6428" w:rsidP="00EB4A1F">
            <w:pPr>
              <w:pStyle w:val="ListParagraph"/>
              <w:ind w:left="0"/>
              <w:rPr>
                <w:sz w:val="20"/>
              </w:rPr>
            </w:pPr>
          </w:p>
        </w:tc>
      </w:tr>
      <w:tr w:rsidR="000F6428" w:rsidRPr="00986029" w:rsidTr="000F6428">
        <w:tc>
          <w:tcPr>
            <w:tcW w:w="5438" w:type="dxa"/>
          </w:tcPr>
          <w:p w:rsidR="000F6428" w:rsidRPr="00986029" w:rsidRDefault="000F6428" w:rsidP="00EB4A1F">
            <w:pPr>
              <w:pStyle w:val="ListParagraph"/>
              <w:ind w:left="0"/>
              <w:rPr>
                <w:sz w:val="20"/>
              </w:rPr>
            </w:pPr>
            <w:r w:rsidRPr="00986029">
              <w:rPr>
                <w:sz w:val="20"/>
              </w:rPr>
              <w:t>Darbuotojų mokymas siekiant užtikrinti atitiktį teisiniams reikalavimams</w:t>
            </w:r>
          </w:p>
        </w:tc>
        <w:tc>
          <w:tcPr>
            <w:tcW w:w="1651" w:type="dxa"/>
          </w:tcPr>
          <w:p w:rsidR="000F6428" w:rsidRPr="00986029" w:rsidRDefault="000F6428" w:rsidP="00EB4A1F">
            <w:pPr>
              <w:pStyle w:val="ListParagraph"/>
              <w:ind w:left="0"/>
              <w:rPr>
                <w:sz w:val="20"/>
              </w:rPr>
            </w:pPr>
          </w:p>
        </w:tc>
        <w:tc>
          <w:tcPr>
            <w:tcW w:w="2045" w:type="dxa"/>
          </w:tcPr>
          <w:p w:rsidR="000F6428" w:rsidRPr="00986029" w:rsidRDefault="000F6428" w:rsidP="00EB4A1F">
            <w:pPr>
              <w:pStyle w:val="ListParagraph"/>
              <w:ind w:left="0"/>
              <w:rPr>
                <w:sz w:val="20"/>
              </w:rPr>
            </w:pPr>
          </w:p>
        </w:tc>
      </w:tr>
      <w:tr w:rsidR="000F6428" w:rsidRPr="00986029" w:rsidTr="000F6428">
        <w:tc>
          <w:tcPr>
            <w:tcW w:w="5438" w:type="dxa"/>
          </w:tcPr>
          <w:p w:rsidR="000F6428" w:rsidRPr="00986029" w:rsidRDefault="00D02731" w:rsidP="00EB4A1F">
            <w:pPr>
              <w:pStyle w:val="ListParagraph"/>
              <w:ind w:left="0"/>
              <w:rPr>
                <w:sz w:val="20"/>
              </w:rPr>
            </w:pPr>
            <w:r w:rsidRPr="00986029">
              <w:rPr>
                <w:sz w:val="20"/>
              </w:rPr>
              <w:t>Valdžios institucijų patikrinimai arba auditai ir susiję administraciniai reikalavimai</w:t>
            </w:r>
          </w:p>
        </w:tc>
        <w:tc>
          <w:tcPr>
            <w:tcW w:w="1651" w:type="dxa"/>
          </w:tcPr>
          <w:p w:rsidR="000F6428" w:rsidRPr="00986029" w:rsidRDefault="000F6428" w:rsidP="00EB4A1F">
            <w:pPr>
              <w:pStyle w:val="ListParagraph"/>
              <w:ind w:left="0"/>
              <w:rPr>
                <w:sz w:val="20"/>
              </w:rPr>
            </w:pPr>
          </w:p>
        </w:tc>
        <w:tc>
          <w:tcPr>
            <w:tcW w:w="2045" w:type="dxa"/>
            <w:tcBorders>
              <w:bottom w:val="single" w:sz="4" w:space="0" w:color="auto"/>
            </w:tcBorders>
          </w:tcPr>
          <w:p w:rsidR="000F6428" w:rsidRPr="00986029" w:rsidRDefault="000F6428" w:rsidP="00EB4A1F">
            <w:pPr>
              <w:pStyle w:val="ListParagraph"/>
              <w:ind w:left="0"/>
              <w:rPr>
                <w:sz w:val="20"/>
              </w:rPr>
            </w:pPr>
          </w:p>
        </w:tc>
      </w:tr>
      <w:tr w:rsidR="00D02731" w:rsidRPr="00986029" w:rsidTr="004F6565">
        <w:tc>
          <w:tcPr>
            <w:tcW w:w="5438" w:type="dxa"/>
          </w:tcPr>
          <w:p w:rsidR="00D02731" w:rsidRPr="00986029" w:rsidRDefault="00D02731" w:rsidP="004F6565">
            <w:pPr>
              <w:pStyle w:val="ListParagraph"/>
              <w:ind w:left="0"/>
              <w:rPr>
                <w:sz w:val="20"/>
              </w:rPr>
            </w:pPr>
            <w:r w:rsidRPr="00986029">
              <w:rPr>
                <w:sz w:val="20"/>
              </w:rPr>
              <w:t>Kita (nurodykite toliau pateiktame laukelyje)</w:t>
            </w:r>
          </w:p>
        </w:tc>
        <w:tc>
          <w:tcPr>
            <w:tcW w:w="1651" w:type="dxa"/>
          </w:tcPr>
          <w:p w:rsidR="00D02731" w:rsidRPr="00986029" w:rsidRDefault="00D02731" w:rsidP="004F6565">
            <w:pPr>
              <w:pStyle w:val="ListParagraph"/>
              <w:ind w:left="0"/>
              <w:rPr>
                <w:sz w:val="20"/>
              </w:rPr>
            </w:pPr>
          </w:p>
        </w:tc>
        <w:tc>
          <w:tcPr>
            <w:tcW w:w="2045" w:type="dxa"/>
          </w:tcPr>
          <w:p w:rsidR="00D02731" w:rsidRPr="00986029" w:rsidRDefault="00D02731" w:rsidP="004F6565">
            <w:pPr>
              <w:pStyle w:val="ListParagraph"/>
              <w:ind w:left="0"/>
              <w:rPr>
                <w:sz w:val="20"/>
              </w:rPr>
            </w:pPr>
          </w:p>
        </w:tc>
      </w:tr>
      <w:tr w:rsidR="006228CC" w:rsidRPr="00986029" w:rsidTr="000F6428">
        <w:tc>
          <w:tcPr>
            <w:tcW w:w="5438" w:type="dxa"/>
          </w:tcPr>
          <w:p w:rsidR="006228CC" w:rsidRPr="00986029" w:rsidRDefault="006228CC" w:rsidP="00EB4A1F">
            <w:pPr>
              <w:pStyle w:val="ListParagraph"/>
              <w:ind w:left="0"/>
              <w:rPr>
                <w:sz w:val="20"/>
              </w:rPr>
            </w:pPr>
            <w:r w:rsidRPr="00986029">
              <w:rPr>
                <w:sz w:val="20"/>
              </w:rPr>
              <w:t xml:space="preserve">Didelių išlaidų nepatiriame </w:t>
            </w:r>
          </w:p>
        </w:tc>
        <w:tc>
          <w:tcPr>
            <w:tcW w:w="1651" w:type="dxa"/>
          </w:tcPr>
          <w:p w:rsidR="006228CC" w:rsidRPr="00986029" w:rsidRDefault="006228CC" w:rsidP="00EB4A1F">
            <w:pPr>
              <w:pStyle w:val="ListParagraph"/>
              <w:ind w:left="0"/>
              <w:rPr>
                <w:sz w:val="20"/>
              </w:rPr>
            </w:pPr>
          </w:p>
        </w:tc>
        <w:tc>
          <w:tcPr>
            <w:tcW w:w="2045" w:type="dxa"/>
            <w:vMerge w:val="restart"/>
            <w:shd w:val="clear" w:color="auto" w:fill="7F7F7F" w:themeFill="text1" w:themeFillTint="80"/>
          </w:tcPr>
          <w:p w:rsidR="006228CC" w:rsidRPr="00986029" w:rsidRDefault="006228CC" w:rsidP="00EB4A1F">
            <w:pPr>
              <w:pStyle w:val="ListParagraph"/>
              <w:ind w:left="0"/>
              <w:rPr>
                <w:sz w:val="20"/>
              </w:rPr>
            </w:pPr>
          </w:p>
        </w:tc>
      </w:tr>
      <w:tr w:rsidR="006228CC" w:rsidRPr="00986029" w:rsidTr="000F6428">
        <w:tc>
          <w:tcPr>
            <w:tcW w:w="5438" w:type="dxa"/>
          </w:tcPr>
          <w:p w:rsidR="006228CC" w:rsidRPr="00986029" w:rsidRDefault="006228CC" w:rsidP="00EB4A1F">
            <w:pPr>
              <w:pStyle w:val="ListParagraph"/>
              <w:ind w:left="0"/>
              <w:rPr>
                <w:sz w:val="20"/>
              </w:rPr>
            </w:pPr>
            <w:r w:rsidRPr="00986029">
              <w:rPr>
                <w:sz w:val="20"/>
              </w:rPr>
              <w:t>Nežinau</w:t>
            </w:r>
          </w:p>
        </w:tc>
        <w:tc>
          <w:tcPr>
            <w:tcW w:w="1651" w:type="dxa"/>
          </w:tcPr>
          <w:p w:rsidR="006228CC" w:rsidRPr="00986029" w:rsidRDefault="006228CC" w:rsidP="00EB4A1F">
            <w:pPr>
              <w:pStyle w:val="ListParagraph"/>
              <w:ind w:left="0"/>
              <w:rPr>
                <w:sz w:val="20"/>
              </w:rPr>
            </w:pPr>
          </w:p>
        </w:tc>
        <w:tc>
          <w:tcPr>
            <w:tcW w:w="2045" w:type="dxa"/>
            <w:vMerge/>
            <w:shd w:val="clear" w:color="auto" w:fill="7F7F7F" w:themeFill="text1" w:themeFillTint="80"/>
          </w:tcPr>
          <w:p w:rsidR="006228CC" w:rsidRPr="00986029" w:rsidRDefault="006228CC" w:rsidP="00EB4A1F">
            <w:pPr>
              <w:pStyle w:val="ListParagraph"/>
              <w:ind w:left="0"/>
              <w:rPr>
                <w:sz w:val="20"/>
              </w:rPr>
            </w:pPr>
          </w:p>
        </w:tc>
      </w:tr>
      <w:tr w:rsidR="00726C04" w:rsidRPr="00986029" w:rsidTr="004D59D7">
        <w:tc>
          <w:tcPr>
            <w:tcW w:w="9134" w:type="dxa"/>
            <w:gridSpan w:val="3"/>
          </w:tcPr>
          <w:p w:rsidR="00726C04" w:rsidRPr="00986029" w:rsidRDefault="00726C04" w:rsidP="004D59D7">
            <w:pPr>
              <w:pStyle w:val="ListParagraph"/>
              <w:ind w:left="0"/>
              <w:rPr>
                <w:i/>
                <w:sz w:val="20"/>
                <w:szCs w:val="20"/>
              </w:rPr>
            </w:pPr>
            <w:r w:rsidRPr="00986029">
              <w:rPr>
                <w:i/>
                <w:sz w:val="20"/>
              </w:rPr>
              <w:t>Pateikite daugiau informacijos</w:t>
            </w:r>
          </w:p>
        </w:tc>
      </w:tr>
    </w:tbl>
    <w:p w:rsidR="00726C04" w:rsidRPr="00986029" w:rsidRDefault="00726C04" w:rsidP="007B57F0">
      <w:pPr>
        <w:pStyle w:val="Heading3"/>
        <w:numPr>
          <w:ilvl w:val="0"/>
          <w:numId w:val="0"/>
        </w:numPr>
        <w:ind w:left="720"/>
      </w:pPr>
    </w:p>
    <w:p w:rsidR="00E23C77" w:rsidRPr="00986029" w:rsidRDefault="00E23C77" w:rsidP="00E23C77">
      <w:pPr>
        <w:pStyle w:val="Heading2"/>
        <w:numPr>
          <w:ilvl w:val="1"/>
          <w:numId w:val="16"/>
        </w:numPr>
      </w:pPr>
      <w:r w:rsidRPr="00986029">
        <w:t xml:space="preserve">Pavojingumo klasifikavimas ir informavimas </w:t>
      </w:r>
    </w:p>
    <w:p w:rsidR="00650D02" w:rsidRPr="00986029" w:rsidRDefault="00650D02" w:rsidP="00650D02">
      <w:pPr>
        <w:pStyle w:val="Numbering"/>
        <w:numPr>
          <w:ilvl w:val="0"/>
          <w:numId w:val="0"/>
        </w:numPr>
        <w:spacing w:after="120"/>
        <w:ind w:left="360" w:hanging="360"/>
      </w:pPr>
      <w:r w:rsidRPr="00986029">
        <w:rPr>
          <w:i/>
        </w:rPr>
        <w:t>Šis skyrius yra susijęs su cheminių medžiagų pavojingumo klasifikavimo ir naudotojų, darbuotojų ir vartotojų informavimo apie šiuos pavojus taisyklėmis.</w:t>
      </w:r>
    </w:p>
    <w:p w:rsidR="00E23C77" w:rsidRPr="00986029" w:rsidRDefault="00A00716" w:rsidP="00E23C77">
      <w:pPr>
        <w:pStyle w:val="Numbering"/>
        <w:spacing w:after="120"/>
        <w:ind w:left="357" w:hanging="357"/>
      </w:pPr>
      <w:r w:rsidRPr="00986029">
        <w:t>Nurodykite, kokiu mastu sutinkate su pateiktais teiginiais dėl informavimo apie pavojų priemonių, įgyvendinamų pagal KŽP reglamentą.</w:t>
      </w:r>
    </w:p>
    <w:tbl>
      <w:tblPr>
        <w:tblStyle w:val="TableGrid"/>
        <w:tblW w:w="5021" w:type="pct"/>
        <w:tblInd w:w="108" w:type="dxa"/>
        <w:tblLayout w:type="fixed"/>
        <w:tblLook w:val="04A0" w:firstRow="1" w:lastRow="0" w:firstColumn="1" w:lastColumn="0" w:noHBand="0" w:noVBand="1"/>
      </w:tblPr>
      <w:tblGrid>
        <w:gridCol w:w="3547"/>
        <w:gridCol w:w="995"/>
        <w:gridCol w:w="995"/>
        <w:gridCol w:w="995"/>
        <w:gridCol w:w="995"/>
        <w:gridCol w:w="995"/>
        <w:gridCol w:w="759"/>
      </w:tblGrid>
      <w:tr w:rsidR="00E977A1" w:rsidRPr="00986029" w:rsidTr="00E977A1">
        <w:trPr>
          <w:trHeight w:val="284"/>
        </w:trPr>
        <w:tc>
          <w:tcPr>
            <w:tcW w:w="1911" w:type="pct"/>
            <w:shd w:val="clear" w:color="auto" w:fill="569BBE"/>
            <w:vAlign w:val="center"/>
          </w:tcPr>
          <w:p w:rsidR="00E977A1" w:rsidRPr="00986029" w:rsidRDefault="00E977A1" w:rsidP="000747CC">
            <w:pPr>
              <w:pStyle w:val="Table"/>
              <w:keepNext/>
              <w:widowControl w:val="0"/>
              <w:jc w:val="center"/>
              <w:rPr>
                <w:b/>
                <w:color w:val="FFFFFF" w:themeColor="background1"/>
              </w:rPr>
            </w:pPr>
            <w:r w:rsidRPr="00986029">
              <w:rPr>
                <w:rFonts w:ascii="Calibri" w:hAnsi="Calibri"/>
                <w:b/>
                <w:color w:val="FFFFFF" w:themeColor="background1"/>
              </w:rPr>
              <w:t xml:space="preserve">Ženklinimo informacijos supratimas  </w:t>
            </w:r>
          </w:p>
        </w:tc>
        <w:tc>
          <w:tcPr>
            <w:tcW w:w="536" w:type="pct"/>
            <w:shd w:val="clear" w:color="auto" w:fill="569BBE"/>
            <w:vAlign w:val="center"/>
          </w:tcPr>
          <w:p w:rsidR="00E977A1" w:rsidRPr="00986029" w:rsidRDefault="00E977A1" w:rsidP="000747CC">
            <w:pPr>
              <w:keepNext/>
              <w:widowControl w:val="0"/>
              <w:jc w:val="center"/>
              <w:rPr>
                <w:rFonts w:ascii="Calibri" w:eastAsia="Times New Roman" w:hAnsi="Calibri" w:cs="Times New Roman"/>
                <w:b/>
                <w:bCs/>
                <w:color w:val="FFFFFF" w:themeColor="background1"/>
                <w:sz w:val="20"/>
              </w:rPr>
            </w:pPr>
            <w:r w:rsidRPr="00986029">
              <w:rPr>
                <w:rFonts w:ascii="Calibri" w:hAnsi="Calibri"/>
                <w:b/>
                <w:color w:val="FFFFFF" w:themeColor="background1"/>
                <w:sz w:val="20"/>
              </w:rPr>
              <w:t>Visiškai nesutinku</w:t>
            </w:r>
          </w:p>
        </w:tc>
        <w:tc>
          <w:tcPr>
            <w:tcW w:w="536" w:type="pct"/>
            <w:shd w:val="clear" w:color="auto" w:fill="569BBE"/>
            <w:vAlign w:val="center"/>
          </w:tcPr>
          <w:p w:rsidR="00E977A1" w:rsidRPr="00986029" w:rsidRDefault="00E977A1" w:rsidP="000747CC">
            <w:pPr>
              <w:keepNext/>
              <w:widowControl w:val="0"/>
              <w:jc w:val="center"/>
              <w:rPr>
                <w:rFonts w:ascii="Calibri" w:eastAsia="Times New Roman" w:hAnsi="Calibri" w:cs="Times New Roman"/>
                <w:b/>
                <w:bCs/>
                <w:color w:val="FFFFFF" w:themeColor="background1"/>
                <w:sz w:val="20"/>
              </w:rPr>
            </w:pPr>
            <w:r w:rsidRPr="00986029">
              <w:rPr>
                <w:b/>
                <w:color w:val="FFFFFF" w:themeColor="background1"/>
                <w:sz w:val="20"/>
              </w:rPr>
              <w:t>Nesutinku</w:t>
            </w:r>
          </w:p>
        </w:tc>
        <w:tc>
          <w:tcPr>
            <w:tcW w:w="536" w:type="pct"/>
            <w:shd w:val="clear" w:color="auto" w:fill="569BBE"/>
            <w:vAlign w:val="center"/>
          </w:tcPr>
          <w:p w:rsidR="00E977A1" w:rsidRPr="00986029" w:rsidRDefault="00E977A1" w:rsidP="000747CC">
            <w:pPr>
              <w:keepNext/>
              <w:widowControl w:val="0"/>
              <w:jc w:val="center"/>
              <w:rPr>
                <w:rFonts w:ascii="Calibri" w:eastAsia="Times New Roman" w:hAnsi="Calibri" w:cs="Times New Roman"/>
                <w:b/>
                <w:bCs/>
                <w:color w:val="FFFFFF" w:themeColor="background1"/>
                <w:sz w:val="20"/>
              </w:rPr>
            </w:pPr>
            <w:r w:rsidRPr="00986029">
              <w:rPr>
                <w:rFonts w:ascii="Calibri" w:hAnsi="Calibri"/>
                <w:b/>
                <w:color w:val="FFFFFF" w:themeColor="background1"/>
                <w:sz w:val="20"/>
              </w:rPr>
              <w:t>Nei sutinku, nei nesutinku</w:t>
            </w:r>
          </w:p>
        </w:tc>
        <w:tc>
          <w:tcPr>
            <w:tcW w:w="536" w:type="pct"/>
            <w:shd w:val="clear" w:color="auto" w:fill="569BBE"/>
            <w:vAlign w:val="center"/>
          </w:tcPr>
          <w:p w:rsidR="00E977A1" w:rsidRPr="00986029" w:rsidRDefault="00E977A1" w:rsidP="000747CC">
            <w:pPr>
              <w:keepNext/>
              <w:widowControl w:val="0"/>
              <w:jc w:val="center"/>
              <w:rPr>
                <w:rFonts w:ascii="Calibri" w:eastAsia="Times New Roman" w:hAnsi="Calibri" w:cs="Times New Roman"/>
                <w:b/>
                <w:bCs/>
                <w:color w:val="FFFFFF" w:themeColor="background1"/>
                <w:sz w:val="20"/>
              </w:rPr>
            </w:pPr>
            <w:r w:rsidRPr="00986029">
              <w:rPr>
                <w:rFonts w:ascii="Calibri" w:hAnsi="Calibri"/>
                <w:b/>
                <w:color w:val="FFFFFF" w:themeColor="background1"/>
                <w:sz w:val="20"/>
              </w:rPr>
              <w:t>Sutinku</w:t>
            </w:r>
          </w:p>
        </w:tc>
        <w:tc>
          <w:tcPr>
            <w:tcW w:w="536" w:type="pct"/>
            <w:shd w:val="clear" w:color="auto" w:fill="569BBE"/>
            <w:vAlign w:val="center"/>
          </w:tcPr>
          <w:p w:rsidR="00E977A1" w:rsidRPr="00986029" w:rsidRDefault="00E977A1" w:rsidP="000747CC">
            <w:pPr>
              <w:keepNext/>
              <w:widowControl w:val="0"/>
              <w:ind w:left="57"/>
              <w:jc w:val="center"/>
              <w:rPr>
                <w:rFonts w:ascii="Calibri" w:eastAsia="Times New Roman" w:hAnsi="Calibri" w:cs="Times New Roman"/>
                <w:b/>
                <w:color w:val="FFFFFF" w:themeColor="background1"/>
                <w:sz w:val="20"/>
              </w:rPr>
            </w:pPr>
            <w:r w:rsidRPr="00986029">
              <w:rPr>
                <w:rFonts w:ascii="Calibri" w:hAnsi="Calibri"/>
                <w:b/>
                <w:color w:val="FFFFFF" w:themeColor="background1"/>
                <w:sz w:val="20"/>
              </w:rPr>
              <w:t>Visiškai sutinku</w:t>
            </w:r>
          </w:p>
        </w:tc>
        <w:tc>
          <w:tcPr>
            <w:tcW w:w="409" w:type="pct"/>
            <w:shd w:val="clear" w:color="auto" w:fill="569BBE"/>
            <w:vAlign w:val="center"/>
          </w:tcPr>
          <w:p w:rsidR="00E977A1" w:rsidRPr="00986029" w:rsidRDefault="00E977A1" w:rsidP="000747CC">
            <w:pPr>
              <w:keepNext/>
              <w:widowControl w:val="0"/>
              <w:jc w:val="center"/>
              <w:rPr>
                <w:rFonts w:ascii="Calibri" w:eastAsia="Calibri" w:hAnsi="Calibri" w:cs="Times New Roman"/>
                <w:b/>
                <w:color w:val="FFFFFF" w:themeColor="background1"/>
                <w:sz w:val="20"/>
                <w:szCs w:val="20"/>
              </w:rPr>
            </w:pPr>
            <w:r w:rsidRPr="00986029">
              <w:rPr>
                <w:rFonts w:ascii="Calibri" w:hAnsi="Calibri"/>
                <w:b/>
                <w:color w:val="FFFFFF" w:themeColor="background1"/>
                <w:sz w:val="20"/>
              </w:rPr>
              <w:t>Nežinau</w:t>
            </w:r>
          </w:p>
        </w:tc>
      </w:tr>
      <w:tr w:rsidR="00E977A1" w:rsidRPr="00986029" w:rsidTr="000747CC">
        <w:trPr>
          <w:trHeight w:val="244"/>
        </w:trPr>
        <w:tc>
          <w:tcPr>
            <w:tcW w:w="1911" w:type="pct"/>
            <w:shd w:val="clear" w:color="auto" w:fill="auto"/>
          </w:tcPr>
          <w:p w:rsidR="00E977A1" w:rsidRPr="00986029" w:rsidRDefault="00E977A1" w:rsidP="000747CC">
            <w:pPr>
              <w:pStyle w:val="Numbering"/>
              <w:numPr>
                <w:ilvl w:val="0"/>
                <w:numId w:val="0"/>
              </w:numPr>
              <w:spacing w:before="0"/>
              <w:rPr>
                <w:sz w:val="20"/>
                <w:szCs w:val="20"/>
              </w:rPr>
            </w:pPr>
            <w:r w:rsidRPr="00986029">
              <w:rPr>
                <w:sz w:val="20"/>
              </w:rPr>
              <w:t>KŽP reglamento piktogramose iš esmės vaizduojamas realus pavojus</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Table"/>
              <w:widowControl w:val="0"/>
              <w:tabs>
                <w:tab w:val="left" w:pos="3131"/>
              </w:tabs>
              <w:jc w:val="left"/>
              <w:rPr>
                <w:color w:val="auto"/>
              </w:rPr>
            </w:pPr>
            <w:r w:rsidRPr="00986029">
              <w:rPr>
                <w:color w:val="auto"/>
              </w:rPr>
              <w:t xml:space="preserve">Darbdaviai supranta KŽP reglamento piktogramas ir etiketėse pateiktą informaciją apie saugų cheminių medžiagų naudojimą </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Table"/>
              <w:widowControl w:val="0"/>
              <w:tabs>
                <w:tab w:val="left" w:pos="3131"/>
              </w:tabs>
              <w:jc w:val="left"/>
              <w:rPr>
                <w:color w:val="auto"/>
              </w:rPr>
            </w:pPr>
            <w:r w:rsidRPr="00986029">
              <w:rPr>
                <w:color w:val="auto"/>
              </w:rPr>
              <w:t>KŽP reglamento cheminio produkto klasifikavimas daro poveikį darbdavių pasirinkimui pirkti šį produktą, kurį naudos jų darbuotojai</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Table"/>
              <w:widowControl w:val="0"/>
              <w:tabs>
                <w:tab w:val="left" w:pos="3131"/>
              </w:tabs>
              <w:jc w:val="left"/>
              <w:rPr>
                <w:color w:val="auto"/>
              </w:rPr>
            </w:pPr>
            <w:r w:rsidRPr="00986029">
              <w:rPr>
                <w:color w:val="auto"/>
              </w:rPr>
              <w:t>Darbuotojai supranta KŽP reglamento piktogramas ir etiketėse pateiktą informaciją apie saugų cheminių medžiagų naudojimą</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Numbering"/>
              <w:numPr>
                <w:ilvl w:val="0"/>
                <w:numId w:val="0"/>
              </w:numPr>
              <w:spacing w:before="0"/>
              <w:jc w:val="left"/>
              <w:rPr>
                <w:sz w:val="20"/>
                <w:szCs w:val="20"/>
              </w:rPr>
            </w:pPr>
            <w:r w:rsidRPr="00986029">
              <w:rPr>
                <w:sz w:val="20"/>
              </w:rPr>
              <w:t>Vartotojai supranta KŽP reglamento piktogramas ir etiketėse pateiktą informaciją apie saugų cheminių medžiagų naudojimą</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E977A1">
            <w:pPr>
              <w:pStyle w:val="Numbering"/>
              <w:numPr>
                <w:ilvl w:val="0"/>
                <w:numId w:val="0"/>
              </w:numPr>
              <w:spacing w:before="0"/>
              <w:jc w:val="left"/>
              <w:rPr>
                <w:sz w:val="20"/>
                <w:szCs w:val="20"/>
              </w:rPr>
            </w:pPr>
            <w:r w:rsidRPr="00986029">
              <w:rPr>
                <w:sz w:val="20"/>
              </w:rPr>
              <w:lastRenderedPageBreak/>
              <w:t>Darbuotojai supranta papildomas savanoriškas saugaus naudojimo piktogramas, pateiktas ant tam tikrų produktų (pvz., valymo produktų)</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06576" w:rsidRPr="00986029" w:rsidTr="004D59D7">
        <w:trPr>
          <w:trHeight w:val="244"/>
        </w:trPr>
        <w:tc>
          <w:tcPr>
            <w:tcW w:w="1911" w:type="pct"/>
            <w:shd w:val="clear" w:color="auto" w:fill="auto"/>
          </w:tcPr>
          <w:p w:rsidR="00E06576" w:rsidRPr="00986029" w:rsidRDefault="00E06576" w:rsidP="004D59D7">
            <w:pPr>
              <w:pStyle w:val="Numbering"/>
              <w:numPr>
                <w:ilvl w:val="0"/>
                <w:numId w:val="0"/>
              </w:numPr>
              <w:spacing w:before="0"/>
              <w:rPr>
                <w:sz w:val="20"/>
                <w:szCs w:val="20"/>
              </w:rPr>
            </w:pPr>
            <w:r w:rsidRPr="00986029">
              <w:rPr>
                <w:sz w:val="20"/>
              </w:rPr>
              <w:t>KŽP reglamento ženklinimo reikalavimus turėtų papildyti savanoriškos pramonės iniciatyvos, kuriomis skatinamas saugus cheminių medžiagų naudojimas</w:t>
            </w:r>
          </w:p>
        </w:tc>
        <w:tc>
          <w:tcPr>
            <w:tcW w:w="536" w:type="pct"/>
            <w:vAlign w:val="center"/>
          </w:tcPr>
          <w:p w:rsidR="00E06576" w:rsidRPr="00986029" w:rsidRDefault="00E06576" w:rsidP="004D59D7">
            <w:pPr>
              <w:pStyle w:val="Table"/>
              <w:widowControl w:val="0"/>
              <w:jc w:val="center"/>
            </w:pPr>
          </w:p>
        </w:tc>
        <w:tc>
          <w:tcPr>
            <w:tcW w:w="536" w:type="pct"/>
            <w:vAlign w:val="center"/>
          </w:tcPr>
          <w:p w:rsidR="00E06576" w:rsidRPr="00986029" w:rsidRDefault="00E06576" w:rsidP="004D59D7">
            <w:pPr>
              <w:pStyle w:val="Table"/>
              <w:widowControl w:val="0"/>
              <w:jc w:val="center"/>
            </w:pPr>
          </w:p>
        </w:tc>
        <w:tc>
          <w:tcPr>
            <w:tcW w:w="536" w:type="pct"/>
            <w:vAlign w:val="center"/>
          </w:tcPr>
          <w:p w:rsidR="00E06576" w:rsidRPr="00986029" w:rsidRDefault="00E06576" w:rsidP="004D59D7">
            <w:pPr>
              <w:pStyle w:val="Table"/>
              <w:widowControl w:val="0"/>
              <w:jc w:val="center"/>
            </w:pPr>
          </w:p>
        </w:tc>
        <w:tc>
          <w:tcPr>
            <w:tcW w:w="536" w:type="pct"/>
            <w:vAlign w:val="center"/>
          </w:tcPr>
          <w:p w:rsidR="00E06576" w:rsidRPr="00986029" w:rsidRDefault="00E06576" w:rsidP="004D59D7">
            <w:pPr>
              <w:pStyle w:val="Table"/>
              <w:widowControl w:val="0"/>
              <w:jc w:val="center"/>
            </w:pPr>
          </w:p>
        </w:tc>
        <w:tc>
          <w:tcPr>
            <w:tcW w:w="536" w:type="pct"/>
            <w:vAlign w:val="center"/>
          </w:tcPr>
          <w:p w:rsidR="00E06576" w:rsidRPr="00986029" w:rsidRDefault="00E06576" w:rsidP="004D59D7">
            <w:pPr>
              <w:pStyle w:val="Table"/>
              <w:widowControl w:val="0"/>
              <w:jc w:val="center"/>
            </w:pPr>
          </w:p>
        </w:tc>
        <w:tc>
          <w:tcPr>
            <w:tcW w:w="409" w:type="pct"/>
            <w:vAlign w:val="center"/>
          </w:tcPr>
          <w:p w:rsidR="00E06576" w:rsidRPr="00986029" w:rsidRDefault="00E06576" w:rsidP="004D59D7">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Numbering"/>
              <w:numPr>
                <w:ilvl w:val="0"/>
                <w:numId w:val="0"/>
              </w:numPr>
              <w:spacing w:before="0"/>
              <w:jc w:val="left"/>
              <w:rPr>
                <w:sz w:val="20"/>
                <w:szCs w:val="20"/>
              </w:rPr>
            </w:pPr>
            <w:r w:rsidRPr="00986029">
              <w:rPr>
                <w:sz w:val="20"/>
              </w:rPr>
              <w:t>Vartotojai supranta papildomas savanoriškas saugaus naudojimo piktogramas, pateiktas ant tam tikrų produktų (pvz., valymo produktų)</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0747CC">
        <w:trPr>
          <w:trHeight w:val="244"/>
        </w:trPr>
        <w:tc>
          <w:tcPr>
            <w:tcW w:w="1911" w:type="pct"/>
            <w:shd w:val="clear" w:color="auto" w:fill="auto"/>
          </w:tcPr>
          <w:p w:rsidR="00E977A1" w:rsidRPr="00986029" w:rsidRDefault="00E977A1" w:rsidP="000747CC">
            <w:pPr>
              <w:pStyle w:val="Numbering"/>
              <w:numPr>
                <w:ilvl w:val="0"/>
                <w:numId w:val="0"/>
              </w:numPr>
              <w:spacing w:before="0"/>
              <w:rPr>
                <w:sz w:val="20"/>
                <w:szCs w:val="20"/>
              </w:rPr>
            </w:pPr>
            <w:r w:rsidRPr="00986029">
              <w:rPr>
                <w:sz w:val="20"/>
              </w:rPr>
              <w:t>Vartotojai paprastai apsiriboja tik etiketėje pateikiama informacija apie pavojų bei informacija apie saugų naudojimą</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Numbering"/>
              <w:numPr>
                <w:ilvl w:val="0"/>
                <w:numId w:val="0"/>
              </w:numPr>
              <w:spacing w:before="0"/>
              <w:rPr>
                <w:sz w:val="20"/>
                <w:szCs w:val="20"/>
              </w:rPr>
            </w:pPr>
            <w:r w:rsidRPr="00986029">
              <w:rPr>
                <w:sz w:val="20"/>
              </w:rPr>
              <w:t xml:space="preserve">Informacija, kurią šiuo metu reikalaujama pateikti etiketėje, yra būtina ir tinkama </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Table"/>
              <w:widowControl w:val="0"/>
              <w:tabs>
                <w:tab w:val="left" w:pos="3131"/>
              </w:tabs>
              <w:jc w:val="left"/>
              <w:rPr>
                <w:szCs w:val="20"/>
              </w:rPr>
            </w:pPr>
            <w:r w:rsidRPr="00986029">
              <w:rPr>
                <w:color w:val="auto"/>
              </w:rPr>
              <w:t xml:space="preserve">Cheminio produkto pavojingumo klasifikacija turi įtakos vartotojo pasirinkimui </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r w:rsidR="00E977A1" w:rsidRPr="00986029" w:rsidTr="00E977A1">
        <w:trPr>
          <w:trHeight w:val="244"/>
        </w:trPr>
        <w:tc>
          <w:tcPr>
            <w:tcW w:w="1911" w:type="pct"/>
            <w:shd w:val="clear" w:color="auto" w:fill="auto"/>
          </w:tcPr>
          <w:p w:rsidR="00E977A1" w:rsidRPr="00986029" w:rsidRDefault="00E977A1" w:rsidP="000747CC">
            <w:pPr>
              <w:pStyle w:val="Numbering"/>
              <w:numPr>
                <w:ilvl w:val="0"/>
                <w:numId w:val="0"/>
              </w:numPr>
              <w:spacing w:before="0"/>
              <w:rPr>
                <w:sz w:val="20"/>
                <w:szCs w:val="20"/>
              </w:rPr>
            </w:pPr>
            <w:r w:rsidRPr="00986029">
              <w:rPr>
                <w:sz w:val="20"/>
              </w:rPr>
              <w:t xml:space="preserve">Teikiant informaciją vartotojams apie cheminius pavojus reikėtų dažniau rinktis naujas priemones, pavyzdžiui, QR kodus, mobiliąsias programėles ir interneto svetaines </w:t>
            </w: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536" w:type="pct"/>
            <w:vAlign w:val="center"/>
          </w:tcPr>
          <w:p w:rsidR="00E977A1" w:rsidRPr="00986029" w:rsidRDefault="00E977A1" w:rsidP="000747CC">
            <w:pPr>
              <w:pStyle w:val="Table"/>
              <w:widowControl w:val="0"/>
              <w:jc w:val="center"/>
            </w:pPr>
          </w:p>
        </w:tc>
        <w:tc>
          <w:tcPr>
            <w:tcW w:w="409" w:type="pct"/>
            <w:vAlign w:val="center"/>
          </w:tcPr>
          <w:p w:rsidR="00E977A1" w:rsidRPr="00986029" w:rsidRDefault="00E977A1" w:rsidP="000747CC">
            <w:pPr>
              <w:pStyle w:val="Table"/>
              <w:widowControl w:val="0"/>
              <w:jc w:val="center"/>
            </w:pPr>
          </w:p>
        </w:tc>
      </w:tr>
    </w:tbl>
    <w:p w:rsidR="00E23C77" w:rsidRPr="00986029" w:rsidRDefault="00E23C77" w:rsidP="00E23C77">
      <w:pPr>
        <w:pStyle w:val="Numbering"/>
        <w:spacing w:after="120"/>
        <w:ind w:left="357" w:hanging="357"/>
      </w:pPr>
      <w:r w:rsidRPr="00986029">
        <w:t>Ar priemones ir mechanizmus, naudojamus informuoti apie medžiagų ir mišinių pavojų (pavyzdžiui, piktogramas, pavojingumo ir atsargumo frazes ir kitą ženklinimą), būtų galima supaprastinti ir (arba) patobulinti?  Jei taip, pateikite išsamesnį paaiškinimą.</w:t>
      </w:r>
    </w:p>
    <w:tbl>
      <w:tblPr>
        <w:tblStyle w:val="TableGrid"/>
        <w:tblW w:w="0" w:type="auto"/>
        <w:tblInd w:w="108" w:type="dxa"/>
        <w:tblLook w:val="04A0" w:firstRow="1" w:lastRow="0" w:firstColumn="1" w:lastColumn="0" w:noHBand="0" w:noVBand="1"/>
      </w:tblPr>
      <w:tblGrid>
        <w:gridCol w:w="1560"/>
        <w:gridCol w:w="7574"/>
      </w:tblGrid>
      <w:tr w:rsidR="00E23C77" w:rsidRPr="00986029" w:rsidTr="000747CC">
        <w:trPr>
          <w:trHeight w:val="699"/>
        </w:trPr>
        <w:tc>
          <w:tcPr>
            <w:tcW w:w="1560" w:type="dxa"/>
          </w:tcPr>
          <w:p w:rsidR="00E23C77" w:rsidRPr="00986029" w:rsidRDefault="00E23C77" w:rsidP="000747CC">
            <w:pPr>
              <w:pStyle w:val="Numbering"/>
              <w:numPr>
                <w:ilvl w:val="0"/>
                <w:numId w:val="0"/>
              </w:numPr>
              <w:spacing w:before="0"/>
              <w:rPr>
                <w:sz w:val="20"/>
                <w:szCs w:val="20"/>
              </w:rPr>
            </w:pPr>
            <w:r w:rsidRPr="00986029">
              <w:rPr>
                <w:sz w:val="20"/>
              </w:rPr>
              <w:t>Taip, ne arba nežinau</w:t>
            </w:r>
          </w:p>
        </w:tc>
        <w:tc>
          <w:tcPr>
            <w:tcW w:w="7574" w:type="dxa"/>
          </w:tcPr>
          <w:p w:rsidR="00E23C77" w:rsidRPr="00986029" w:rsidRDefault="00E23C77" w:rsidP="000747CC">
            <w:pPr>
              <w:pStyle w:val="Numbering"/>
              <w:numPr>
                <w:ilvl w:val="0"/>
                <w:numId w:val="0"/>
              </w:numPr>
              <w:spacing w:before="0"/>
              <w:rPr>
                <w:sz w:val="20"/>
                <w:szCs w:val="20"/>
              </w:rPr>
            </w:pPr>
            <w:r w:rsidRPr="00986029">
              <w:rPr>
                <w:sz w:val="20"/>
              </w:rPr>
              <w:t>Pateikite išsamesnį paaiškinimą:</w:t>
            </w:r>
          </w:p>
          <w:p w:rsidR="00E23C77" w:rsidRPr="00986029" w:rsidRDefault="00E23C77" w:rsidP="000747CC">
            <w:pPr>
              <w:pStyle w:val="Numbering"/>
              <w:numPr>
                <w:ilvl w:val="0"/>
                <w:numId w:val="0"/>
              </w:numPr>
              <w:spacing w:before="0"/>
              <w:rPr>
                <w:sz w:val="20"/>
                <w:szCs w:val="20"/>
              </w:rPr>
            </w:pPr>
          </w:p>
          <w:p w:rsidR="00E23C77" w:rsidRPr="00986029" w:rsidRDefault="00E23C77" w:rsidP="000747CC">
            <w:pPr>
              <w:pStyle w:val="Numbering"/>
              <w:numPr>
                <w:ilvl w:val="0"/>
                <w:numId w:val="0"/>
              </w:numPr>
              <w:spacing w:before="0"/>
              <w:rPr>
                <w:sz w:val="20"/>
                <w:szCs w:val="20"/>
              </w:rPr>
            </w:pPr>
          </w:p>
        </w:tc>
      </w:tr>
    </w:tbl>
    <w:p w:rsidR="00E23C77" w:rsidRPr="00986029" w:rsidRDefault="00E23C77" w:rsidP="00E23C77">
      <w:pPr>
        <w:pStyle w:val="Numbering"/>
      </w:pPr>
      <w:r w:rsidRPr="00986029">
        <w:t>Nurodykite KŽP reglamento ir kitų ES informavimo apie pavojų reikalavimų poveikio mastą.</w:t>
      </w:r>
    </w:p>
    <w:p w:rsidR="00E23C77" w:rsidRPr="00986029" w:rsidRDefault="00E23C77" w:rsidP="00E23C77">
      <w:pPr>
        <w:pStyle w:val="Numbering"/>
        <w:numPr>
          <w:ilvl w:val="0"/>
          <w:numId w:val="0"/>
        </w:numPr>
        <w:spacing w:before="0"/>
        <w:ind w:left="357"/>
      </w:pPr>
    </w:p>
    <w:tbl>
      <w:tblPr>
        <w:tblStyle w:val="TableGrid10"/>
        <w:tblW w:w="4878" w:type="pct"/>
        <w:tblLayout w:type="fixed"/>
        <w:tblLook w:val="04A0" w:firstRow="1" w:lastRow="0" w:firstColumn="1" w:lastColumn="0" w:noHBand="0" w:noVBand="1"/>
      </w:tblPr>
      <w:tblGrid>
        <w:gridCol w:w="2590"/>
        <w:gridCol w:w="1079"/>
        <w:gridCol w:w="1079"/>
        <w:gridCol w:w="1067"/>
        <w:gridCol w:w="1067"/>
        <w:gridCol w:w="1067"/>
        <w:gridCol w:w="1067"/>
      </w:tblGrid>
      <w:tr w:rsidR="00E23C77" w:rsidRPr="00986029" w:rsidTr="000747CC">
        <w:trPr>
          <w:trHeight w:val="284"/>
        </w:trPr>
        <w:tc>
          <w:tcPr>
            <w:tcW w:w="1436" w:type="pct"/>
            <w:shd w:val="clear" w:color="auto" w:fill="569BBE"/>
            <w:vAlign w:val="center"/>
          </w:tcPr>
          <w:p w:rsidR="00E23C77" w:rsidRPr="00986029" w:rsidRDefault="00E23C77" w:rsidP="000747CC">
            <w:pPr>
              <w:keepNext/>
              <w:jc w:val="left"/>
              <w:rPr>
                <w:b/>
                <w:color w:val="FFFFFF" w:themeColor="background1"/>
                <w:sz w:val="20"/>
                <w:szCs w:val="20"/>
              </w:rPr>
            </w:pPr>
          </w:p>
        </w:tc>
        <w:tc>
          <w:tcPr>
            <w:tcW w:w="598" w:type="pct"/>
            <w:shd w:val="clear" w:color="auto" w:fill="569BBE"/>
            <w:vAlign w:val="center"/>
          </w:tcPr>
          <w:p w:rsidR="00E23C77" w:rsidRPr="00986029" w:rsidRDefault="00E23C77" w:rsidP="000747CC">
            <w:pPr>
              <w:jc w:val="center"/>
              <w:rPr>
                <w:rFonts w:ascii="Calibri" w:eastAsia="Times New Roman" w:hAnsi="Calibri" w:cs="Times New Roman"/>
                <w:b/>
                <w:bCs/>
                <w:color w:val="FFFFFF" w:themeColor="background1"/>
                <w:sz w:val="20"/>
                <w:szCs w:val="20"/>
              </w:rPr>
            </w:pPr>
            <w:r w:rsidRPr="00986029">
              <w:rPr>
                <w:rFonts w:ascii="Calibri" w:hAnsi="Calibri"/>
                <w:b/>
                <w:color w:val="FFFFFF" w:themeColor="background1"/>
                <w:sz w:val="20"/>
              </w:rPr>
              <w:t>Didelis neigiamas poveikis</w:t>
            </w:r>
          </w:p>
        </w:tc>
        <w:tc>
          <w:tcPr>
            <w:tcW w:w="598" w:type="pct"/>
            <w:shd w:val="clear" w:color="auto" w:fill="569BBE"/>
            <w:vAlign w:val="center"/>
          </w:tcPr>
          <w:p w:rsidR="00E23C77" w:rsidRPr="00986029" w:rsidRDefault="00E23C77" w:rsidP="000747CC">
            <w:pPr>
              <w:jc w:val="center"/>
              <w:rPr>
                <w:rFonts w:ascii="Calibri" w:eastAsia="Times New Roman" w:hAnsi="Calibri" w:cs="Times New Roman"/>
                <w:b/>
                <w:bCs/>
                <w:color w:val="FFFFFF" w:themeColor="background1"/>
                <w:sz w:val="20"/>
                <w:szCs w:val="20"/>
              </w:rPr>
            </w:pPr>
            <w:r w:rsidRPr="00986029">
              <w:rPr>
                <w:rFonts w:ascii="Calibri" w:hAnsi="Calibri"/>
                <w:b/>
                <w:color w:val="FFFFFF" w:themeColor="background1"/>
                <w:sz w:val="20"/>
              </w:rPr>
              <w:t>Nedidelis neigiamas poveikis</w:t>
            </w:r>
          </w:p>
        </w:tc>
        <w:tc>
          <w:tcPr>
            <w:tcW w:w="592" w:type="pct"/>
            <w:shd w:val="clear" w:color="auto" w:fill="569BBE"/>
            <w:vAlign w:val="center"/>
          </w:tcPr>
          <w:p w:rsidR="00E23C77" w:rsidRPr="00986029" w:rsidRDefault="00E23C77" w:rsidP="000747CC">
            <w:pPr>
              <w:widowControl w:val="0"/>
              <w:jc w:val="center"/>
              <w:rPr>
                <w:rFonts w:ascii="Calibri" w:eastAsia="Times New Roman" w:hAnsi="Calibri" w:cs="Times New Roman"/>
                <w:b/>
                <w:bCs/>
                <w:color w:val="FFFFFF" w:themeColor="background1"/>
                <w:sz w:val="20"/>
                <w:szCs w:val="20"/>
              </w:rPr>
            </w:pPr>
            <w:r w:rsidRPr="00986029">
              <w:rPr>
                <w:rFonts w:ascii="Calibri" w:hAnsi="Calibri"/>
                <w:b/>
                <w:color w:val="FFFFFF" w:themeColor="background1"/>
                <w:sz w:val="20"/>
              </w:rPr>
              <w:t>Neutralus ir (arba) nesikeitė</w:t>
            </w:r>
          </w:p>
        </w:tc>
        <w:tc>
          <w:tcPr>
            <w:tcW w:w="592" w:type="pct"/>
            <w:shd w:val="clear" w:color="auto" w:fill="569BBE"/>
            <w:vAlign w:val="center"/>
          </w:tcPr>
          <w:p w:rsidR="00E23C77" w:rsidRPr="00986029" w:rsidRDefault="00E23C77" w:rsidP="000747CC">
            <w:pPr>
              <w:jc w:val="center"/>
              <w:rPr>
                <w:rFonts w:ascii="Calibri" w:eastAsia="Times New Roman" w:hAnsi="Calibri" w:cs="Times New Roman"/>
                <w:b/>
                <w:bCs/>
                <w:color w:val="FFFFFF" w:themeColor="background1"/>
                <w:sz w:val="20"/>
                <w:szCs w:val="20"/>
              </w:rPr>
            </w:pPr>
            <w:r w:rsidRPr="00986029">
              <w:rPr>
                <w:rFonts w:ascii="Calibri" w:hAnsi="Calibri"/>
                <w:b/>
                <w:color w:val="FFFFFF" w:themeColor="background1"/>
                <w:sz w:val="20"/>
              </w:rPr>
              <w:t>Mažas teigiamas poveikis</w:t>
            </w:r>
          </w:p>
        </w:tc>
        <w:tc>
          <w:tcPr>
            <w:tcW w:w="592" w:type="pct"/>
            <w:shd w:val="clear" w:color="auto" w:fill="569BBE"/>
            <w:vAlign w:val="center"/>
          </w:tcPr>
          <w:p w:rsidR="00E23C77" w:rsidRPr="00986029" w:rsidRDefault="00E23C77" w:rsidP="000747CC">
            <w:pPr>
              <w:ind w:left="57"/>
              <w:jc w:val="center"/>
              <w:rPr>
                <w:rFonts w:ascii="Calibri" w:eastAsia="Times New Roman" w:hAnsi="Calibri" w:cs="Times New Roman"/>
                <w:b/>
                <w:color w:val="FFFFFF" w:themeColor="background1"/>
                <w:sz w:val="20"/>
                <w:szCs w:val="20"/>
              </w:rPr>
            </w:pPr>
            <w:r w:rsidRPr="00986029">
              <w:rPr>
                <w:rFonts w:ascii="Calibri" w:hAnsi="Calibri"/>
                <w:b/>
                <w:color w:val="FFFFFF" w:themeColor="background1"/>
                <w:sz w:val="20"/>
              </w:rPr>
              <w:t>Didelis teigiamas poveikis</w:t>
            </w:r>
          </w:p>
        </w:tc>
        <w:tc>
          <w:tcPr>
            <w:tcW w:w="592" w:type="pct"/>
            <w:shd w:val="clear" w:color="auto" w:fill="569BBE"/>
            <w:vAlign w:val="center"/>
          </w:tcPr>
          <w:p w:rsidR="00E23C77" w:rsidRPr="00986029" w:rsidRDefault="00E23C77" w:rsidP="000747CC">
            <w:pPr>
              <w:jc w:val="center"/>
              <w:rPr>
                <w:rFonts w:ascii="Calibri" w:eastAsia="Times New Roman" w:hAnsi="Calibri" w:cs="Times New Roman"/>
                <w:b/>
                <w:color w:val="FFFFFF" w:themeColor="background1"/>
                <w:sz w:val="20"/>
                <w:szCs w:val="20"/>
              </w:rPr>
            </w:pPr>
            <w:r w:rsidRPr="00986029">
              <w:rPr>
                <w:rFonts w:ascii="Calibri" w:hAnsi="Calibri"/>
                <w:b/>
                <w:color w:val="FFFFFF" w:themeColor="background1"/>
                <w:sz w:val="20"/>
              </w:rPr>
              <w:t>Nežinau</w:t>
            </w: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Didesnės galimybės gauti duomenų apie medžiagų klasifikaciją</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rPr>
            </w:pP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 xml:space="preserve">Nuoseklesnis skirtingų medžiagų pavojingumo klasifikavimas </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rPr>
            </w:pP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 xml:space="preserve">Saugus darbuotojų cheminių medžiagų naudojimas </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highlight w:val="green"/>
              </w:rPr>
            </w:pPr>
          </w:p>
        </w:tc>
        <w:tc>
          <w:tcPr>
            <w:tcW w:w="592" w:type="pct"/>
            <w:vAlign w:val="center"/>
          </w:tcPr>
          <w:p w:rsidR="00E23C77" w:rsidRPr="00986029" w:rsidRDefault="00E23C77" w:rsidP="000747CC">
            <w:pPr>
              <w:keepNext/>
              <w:jc w:val="center"/>
              <w:rPr>
                <w:color w:val="000000" w:themeColor="text1"/>
                <w:sz w:val="20"/>
                <w:szCs w:val="20"/>
              </w:rPr>
            </w:pP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Saugus vartotojų cheminių medžiagų naudojimas</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 xml:space="preserve">Pakavimo reikalavimų pokyčiai </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Pasirengimas pramoninėms avarijoms</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Didesnis informuotumas apie galimą cheminių produktų poveikį sveikatai</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r>
      <w:tr w:rsidR="00E23C77" w:rsidRPr="00986029" w:rsidTr="000747CC">
        <w:trPr>
          <w:trHeight w:val="244"/>
        </w:trPr>
        <w:tc>
          <w:tcPr>
            <w:tcW w:w="1436" w:type="pct"/>
          </w:tcPr>
          <w:p w:rsidR="00E23C77" w:rsidRPr="00986029" w:rsidRDefault="00E23C77" w:rsidP="000747CC">
            <w:pPr>
              <w:keepNext/>
              <w:tabs>
                <w:tab w:val="left" w:pos="3131"/>
              </w:tabs>
              <w:jc w:val="left"/>
              <w:rPr>
                <w:color w:val="000000" w:themeColor="text1"/>
                <w:sz w:val="20"/>
                <w:szCs w:val="20"/>
              </w:rPr>
            </w:pPr>
            <w:r w:rsidRPr="00986029">
              <w:rPr>
                <w:color w:val="000000" w:themeColor="text1"/>
                <w:sz w:val="20"/>
              </w:rPr>
              <w:t xml:space="preserve">Didesnis informuotumas apie galimą cheminių produktų poveikį aplinkai </w:t>
            </w:r>
          </w:p>
        </w:tc>
        <w:tc>
          <w:tcPr>
            <w:tcW w:w="598" w:type="pct"/>
            <w:vAlign w:val="center"/>
          </w:tcPr>
          <w:p w:rsidR="00E23C77" w:rsidRPr="00986029" w:rsidRDefault="00E23C77" w:rsidP="000747CC">
            <w:pPr>
              <w:keepNext/>
              <w:jc w:val="center"/>
              <w:rPr>
                <w:color w:val="000000" w:themeColor="text1"/>
                <w:sz w:val="20"/>
                <w:szCs w:val="20"/>
              </w:rPr>
            </w:pPr>
          </w:p>
        </w:tc>
        <w:tc>
          <w:tcPr>
            <w:tcW w:w="598"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c>
          <w:tcPr>
            <w:tcW w:w="592" w:type="pct"/>
            <w:vAlign w:val="center"/>
          </w:tcPr>
          <w:p w:rsidR="00E23C77" w:rsidRPr="00986029" w:rsidRDefault="00E23C77" w:rsidP="000747CC">
            <w:pPr>
              <w:keepNext/>
              <w:jc w:val="center"/>
              <w:rPr>
                <w:color w:val="000000" w:themeColor="text1"/>
                <w:sz w:val="20"/>
                <w:szCs w:val="20"/>
              </w:rPr>
            </w:pPr>
          </w:p>
        </w:tc>
      </w:tr>
    </w:tbl>
    <w:p w:rsidR="00E23C77" w:rsidRPr="00986029" w:rsidRDefault="00E23C77" w:rsidP="00E23C77"/>
    <w:p w:rsidR="00E23C77" w:rsidRPr="00986029" w:rsidRDefault="00E23C77" w:rsidP="00E23C77">
      <w:pPr>
        <w:pStyle w:val="Numbering"/>
        <w:spacing w:after="120"/>
        <w:ind w:left="357" w:hanging="357"/>
      </w:pPr>
      <w:r w:rsidRPr="00986029">
        <w:t>Be ženklinimo ir pakavimo reikalavimų pagal KŽP reglamentą, ar žinote kitų teisinių reikalavimų pagal kitus teisės aktus, kuriuos paskatino KŽP reglamento klasifikacija ir kurie turėjo poveikio jūsų bendrovei?</w:t>
      </w:r>
    </w:p>
    <w:tbl>
      <w:tblPr>
        <w:tblStyle w:val="TableGrid"/>
        <w:tblW w:w="0" w:type="auto"/>
        <w:tblInd w:w="108" w:type="dxa"/>
        <w:tblLook w:val="04A0" w:firstRow="1" w:lastRow="0" w:firstColumn="1" w:lastColumn="0" w:noHBand="0" w:noVBand="1"/>
      </w:tblPr>
      <w:tblGrid>
        <w:gridCol w:w="1560"/>
        <w:gridCol w:w="7574"/>
      </w:tblGrid>
      <w:tr w:rsidR="00E23C77" w:rsidRPr="00986029" w:rsidTr="000747CC">
        <w:trPr>
          <w:trHeight w:val="699"/>
        </w:trPr>
        <w:tc>
          <w:tcPr>
            <w:tcW w:w="1560" w:type="dxa"/>
          </w:tcPr>
          <w:p w:rsidR="00E23C77" w:rsidRPr="00986029" w:rsidRDefault="00E23C77" w:rsidP="000747CC">
            <w:pPr>
              <w:pStyle w:val="Numbering"/>
              <w:numPr>
                <w:ilvl w:val="0"/>
                <w:numId w:val="0"/>
              </w:numPr>
              <w:spacing w:before="0"/>
              <w:rPr>
                <w:sz w:val="20"/>
                <w:szCs w:val="20"/>
              </w:rPr>
            </w:pPr>
            <w:r w:rsidRPr="00986029">
              <w:rPr>
                <w:sz w:val="20"/>
              </w:rPr>
              <w:t>Taip, ne arba nežinau</w:t>
            </w:r>
          </w:p>
        </w:tc>
        <w:tc>
          <w:tcPr>
            <w:tcW w:w="7574" w:type="dxa"/>
          </w:tcPr>
          <w:p w:rsidR="00E23C77" w:rsidRPr="00986029" w:rsidRDefault="00E23C77" w:rsidP="000747CC">
            <w:pPr>
              <w:pStyle w:val="Numbering"/>
              <w:numPr>
                <w:ilvl w:val="0"/>
                <w:numId w:val="0"/>
              </w:numPr>
              <w:spacing w:before="0"/>
              <w:rPr>
                <w:sz w:val="20"/>
                <w:szCs w:val="20"/>
              </w:rPr>
            </w:pPr>
            <w:r w:rsidRPr="00986029">
              <w:rPr>
                <w:sz w:val="20"/>
              </w:rPr>
              <w:t>Pateikite išsamesnį paaiškinimą:</w:t>
            </w:r>
          </w:p>
          <w:p w:rsidR="00E23C77" w:rsidRPr="00986029" w:rsidRDefault="00E23C77" w:rsidP="000747CC">
            <w:pPr>
              <w:pStyle w:val="Numbering"/>
              <w:numPr>
                <w:ilvl w:val="0"/>
                <w:numId w:val="0"/>
              </w:numPr>
              <w:spacing w:before="0"/>
              <w:rPr>
                <w:sz w:val="20"/>
                <w:szCs w:val="20"/>
              </w:rPr>
            </w:pPr>
          </w:p>
          <w:p w:rsidR="00E23C77" w:rsidRPr="00986029" w:rsidRDefault="00E23C77" w:rsidP="000747CC">
            <w:pPr>
              <w:pStyle w:val="Numbering"/>
              <w:numPr>
                <w:ilvl w:val="0"/>
                <w:numId w:val="0"/>
              </w:numPr>
              <w:spacing w:before="0"/>
              <w:rPr>
                <w:sz w:val="20"/>
                <w:szCs w:val="20"/>
              </w:rPr>
            </w:pPr>
          </w:p>
        </w:tc>
      </w:tr>
    </w:tbl>
    <w:p w:rsidR="00776184" w:rsidRPr="00986029" w:rsidRDefault="005C302B" w:rsidP="0055232F">
      <w:pPr>
        <w:pStyle w:val="Heading2"/>
        <w:spacing w:before="360"/>
        <w:ind w:left="578" w:hanging="578"/>
      </w:pPr>
      <w:r w:rsidRPr="00986029">
        <w:t xml:space="preserve">Cheminių medžiagų teisės aktų (išskyrus REACH reglamentą) sistemos reglamentavimo tinkamumas </w:t>
      </w:r>
    </w:p>
    <w:p w:rsidR="00ED532F" w:rsidRPr="00986029" w:rsidRDefault="00ED532F" w:rsidP="00ED532F">
      <w:pPr>
        <w:pStyle w:val="Numbering"/>
        <w:numPr>
          <w:ilvl w:val="0"/>
          <w:numId w:val="0"/>
        </w:numPr>
        <w:spacing w:after="120"/>
        <w:ind w:left="360" w:hanging="360"/>
        <w:rPr>
          <w:i/>
        </w:rPr>
      </w:pPr>
      <w:r w:rsidRPr="00986029">
        <w:rPr>
          <w:i/>
        </w:rPr>
        <w:t xml:space="preserve">Šis skyrius susijęs su cheminių medžiagų teisės aktų sistema, kuri apima horizontaliuosius cheminių medžiagų teisės aktus (pavyzdžiui, KŽP reglamentą ir gerą laboratorinę praktiką, GLP) ir su konkrečiu produktu susijusius teisės aktus (pvz., biocidus, augalų apsaugos produktus, kosmetiką, ploviklius, trąšas, sprogmenis, žaislus ir medicinos prietaisus reglamentuojančius teisės aktus). Ji taip pat apima su cheminėmis medžiagomis susijusias aplinkos teisės aktų dalis (pvz., Seveso, atliekų pagrindų, vandens pagrindų), darbuotojų saugos teisės aktus ir transporto teisės aktus. </w:t>
      </w:r>
    </w:p>
    <w:p w:rsidR="00776184" w:rsidRPr="00986029" w:rsidRDefault="00776184" w:rsidP="00776184">
      <w:pPr>
        <w:pStyle w:val="Numbering"/>
        <w:spacing w:after="120"/>
        <w:ind w:left="357" w:hanging="357"/>
      </w:pPr>
      <w:r w:rsidRPr="00986029">
        <w:t>Nurodykite, kokiu mastu sutinkate su pateiktais teiginiais dėl ES cheminių medžiagų teisės aktų sistemos apskritai</w:t>
      </w:r>
    </w:p>
    <w:tbl>
      <w:tblPr>
        <w:tblW w:w="9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4"/>
        <w:gridCol w:w="1110"/>
        <w:gridCol w:w="1110"/>
        <w:gridCol w:w="1111"/>
        <w:gridCol w:w="1110"/>
        <w:gridCol w:w="1110"/>
        <w:gridCol w:w="1111"/>
      </w:tblGrid>
      <w:tr w:rsidR="00776184" w:rsidRPr="00986029" w:rsidTr="0055232F">
        <w:trPr>
          <w:trHeight w:val="90"/>
        </w:trPr>
        <w:tc>
          <w:tcPr>
            <w:tcW w:w="252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776184" w:rsidRPr="00986029" w:rsidRDefault="00776184" w:rsidP="0055232F">
            <w:pPr>
              <w:spacing w:after="0"/>
              <w:jc w:val="right"/>
              <w:rPr>
                <w:rFonts w:cs="Arial"/>
                <w:i/>
                <w:sz w:val="20"/>
                <w:szCs w:val="20"/>
              </w:rPr>
            </w:pPr>
          </w:p>
        </w:tc>
        <w:tc>
          <w:tcPr>
            <w:tcW w:w="111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776184" w:rsidRPr="00986029" w:rsidRDefault="00776184" w:rsidP="0055232F">
            <w:pPr>
              <w:spacing w:after="0"/>
              <w:jc w:val="center"/>
              <w:rPr>
                <w:rFonts w:cs="Arial"/>
                <w:sz w:val="20"/>
                <w:szCs w:val="20"/>
              </w:rPr>
            </w:pPr>
            <w:r w:rsidRPr="00986029">
              <w:rPr>
                <w:color w:val="000000"/>
                <w:sz w:val="20"/>
              </w:rPr>
              <w:t>Visiškai nesutinku</w:t>
            </w: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r w:rsidRPr="00986029">
              <w:rPr>
                <w:color w:val="000000"/>
                <w:sz w:val="20"/>
              </w:rPr>
              <w:t>Nesutinku</w:t>
            </w:r>
          </w:p>
        </w:tc>
        <w:tc>
          <w:tcPr>
            <w:tcW w:w="1111"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r w:rsidRPr="00986029">
              <w:rPr>
                <w:color w:val="000000"/>
                <w:sz w:val="20"/>
              </w:rPr>
              <w:t>Laikausi neutralios nuomonės</w:t>
            </w: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r w:rsidRPr="00986029">
              <w:rPr>
                <w:color w:val="000000"/>
                <w:sz w:val="20"/>
              </w:rPr>
              <w:t>Sutinku</w:t>
            </w: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r w:rsidRPr="00986029">
              <w:rPr>
                <w:color w:val="000000"/>
                <w:sz w:val="20"/>
              </w:rPr>
              <w:t>Visiškai sutinku</w:t>
            </w:r>
          </w:p>
        </w:tc>
        <w:tc>
          <w:tcPr>
            <w:tcW w:w="1111"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r w:rsidRPr="00986029">
              <w:rPr>
                <w:sz w:val="20"/>
              </w:rPr>
              <w:t>Nežinau</w:t>
            </w:r>
          </w:p>
        </w:tc>
      </w:tr>
      <w:tr w:rsidR="0032794E" w:rsidRPr="00986029" w:rsidTr="00EB4A1F">
        <w:trPr>
          <w:trHeight w:val="90"/>
        </w:trPr>
        <w:tc>
          <w:tcPr>
            <w:tcW w:w="252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32794E" w:rsidRPr="00986029" w:rsidRDefault="0032794E" w:rsidP="00EB4A1F">
            <w:pPr>
              <w:spacing w:after="0"/>
              <w:jc w:val="left"/>
              <w:rPr>
                <w:rFonts w:eastAsia="Arial"/>
                <w:color w:val="000000"/>
                <w:spacing w:val="-1"/>
                <w:sz w:val="20"/>
                <w:szCs w:val="20"/>
              </w:rPr>
            </w:pPr>
            <w:r w:rsidRPr="00986029">
              <w:rPr>
                <w:color w:val="000000"/>
                <w:spacing w:val="-1"/>
                <w:sz w:val="20"/>
              </w:rPr>
              <w:t xml:space="preserve">Cheminių medžiagų teisės aktai yra pakankamai suderinti visose valstybėse narėse tinkamam Europos </w:t>
            </w:r>
            <w:r w:rsidRPr="00986029">
              <w:rPr>
                <w:color w:val="000000"/>
                <w:spacing w:val="-1"/>
                <w:sz w:val="20"/>
              </w:rPr>
              <w:lastRenderedPageBreak/>
              <w:t>bendrosios rinkos veikimui</w:t>
            </w:r>
          </w:p>
        </w:tc>
        <w:tc>
          <w:tcPr>
            <w:tcW w:w="111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32794E" w:rsidRPr="00986029" w:rsidRDefault="0032794E" w:rsidP="00EB4A1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r>
      <w:tr w:rsidR="0032794E" w:rsidRPr="00986029" w:rsidTr="00EB4A1F">
        <w:trPr>
          <w:trHeight w:val="90"/>
        </w:trPr>
        <w:tc>
          <w:tcPr>
            <w:tcW w:w="252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32794E" w:rsidRPr="00986029" w:rsidRDefault="0032794E" w:rsidP="00D02731">
            <w:pPr>
              <w:spacing w:after="0"/>
              <w:jc w:val="left"/>
              <w:rPr>
                <w:rFonts w:eastAsia="Arial"/>
                <w:color w:val="000000"/>
                <w:spacing w:val="-3"/>
                <w:sz w:val="20"/>
                <w:szCs w:val="20"/>
              </w:rPr>
            </w:pPr>
            <w:r w:rsidRPr="00986029">
              <w:rPr>
                <w:color w:val="000000"/>
                <w:spacing w:val="-1"/>
                <w:sz w:val="20"/>
              </w:rPr>
              <w:t>ES cheminių medžiagų teisės aktų sistema yra nuosekli</w:t>
            </w:r>
          </w:p>
        </w:tc>
        <w:tc>
          <w:tcPr>
            <w:tcW w:w="111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32794E" w:rsidRPr="00986029" w:rsidRDefault="0032794E" w:rsidP="00EB4A1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EB4A1F">
            <w:pPr>
              <w:spacing w:after="0"/>
              <w:jc w:val="center"/>
              <w:rPr>
                <w:rFonts w:cs="Arial"/>
                <w:sz w:val="20"/>
                <w:szCs w:val="20"/>
              </w:rPr>
            </w:pPr>
          </w:p>
        </w:tc>
      </w:tr>
      <w:tr w:rsidR="00776184" w:rsidRPr="00986029" w:rsidTr="0055232F">
        <w:trPr>
          <w:trHeight w:val="90"/>
        </w:trPr>
        <w:tc>
          <w:tcPr>
            <w:tcW w:w="252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776184" w:rsidRPr="00986029" w:rsidRDefault="00776184" w:rsidP="0055232F">
            <w:pPr>
              <w:spacing w:after="0"/>
              <w:jc w:val="left"/>
              <w:rPr>
                <w:rFonts w:cs="Arial"/>
                <w:sz w:val="20"/>
                <w:szCs w:val="20"/>
              </w:rPr>
            </w:pPr>
            <w:r w:rsidRPr="00986029">
              <w:rPr>
                <w:color w:val="000000"/>
                <w:spacing w:val="-3"/>
                <w:sz w:val="20"/>
              </w:rPr>
              <w:t xml:space="preserve">ES cheminių medžiagų teisės aktų sistemoje yra spragų </w:t>
            </w:r>
          </w:p>
        </w:tc>
        <w:tc>
          <w:tcPr>
            <w:tcW w:w="111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776184" w:rsidRPr="00986029" w:rsidRDefault="00776184"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r>
      <w:tr w:rsidR="00776184" w:rsidRPr="00986029" w:rsidTr="0055232F">
        <w:trPr>
          <w:trHeight w:val="90"/>
        </w:trPr>
        <w:tc>
          <w:tcPr>
            <w:tcW w:w="252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776184" w:rsidRPr="00986029" w:rsidRDefault="00776184" w:rsidP="0055232F">
            <w:pPr>
              <w:spacing w:after="0"/>
              <w:jc w:val="left"/>
              <w:rPr>
                <w:rFonts w:eastAsia="Arial"/>
                <w:color w:val="000000"/>
                <w:spacing w:val="-3"/>
                <w:sz w:val="20"/>
                <w:szCs w:val="20"/>
              </w:rPr>
            </w:pPr>
            <w:r w:rsidRPr="00986029">
              <w:rPr>
                <w:color w:val="000000"/>
                <w:sz w:val="20"/>
              </w:rPr>
              <w:t>ES cheminių medžiagų teisės aktų sistemoje yra dubliavimosi</w:t>
            </w:r>
          </w:p>
        </w:tc>
        <w:tc>
          <w:tcPr>
            <w:tcW w:w="111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776184" w:rsidRPr="00986029" w:rsidRDefault="00776184"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776184" w:rsidRPr="00986029" w:rsidRDefault="00776184" w:rsidP="0055232F">
            <w:pPr>
              <w:spacing w:after="0"/>
              <w:jc w:val="center"/>
              <w:rPr>
                <w:rFonts w:cs="Arial"/>
                <w:sz w:val="20"/>
                <w:szCs w:val="20"/>
              </w:rPr>
            </w:pPr>
          </w:p>
        </w:tc>
      </w:tr>
      <w:tr w:rsidR="0032794E" w:rsidRPr="00986029" w:rsidTr="0055232F">
        <w:trPr>
          <w:trHeight w:val="90"/>
        </w:trPr>
        <w:tc>
          <w:tcPr>
            <w:tcW w:w="252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32794E" w:rsidRPr="00986029" w:rsidRDefault="0032794E" w:rsidP="0055232F">
            <w:pPr>
              <w:spacing w:after="0"/>
              <w:jc w:val="left"/>
              <w:rPr>
                <w:rFonts w:eastAsia="Arial"/>
                <w:color w:val="000000"/>
                <w:spacing w:val="-1"/>
                <w:sz w:val="20"/>
                <w:szCs w:val="20"/>
              </w:rPr>
            </w:pPr>
            <w:r w:rsidRPr="00986029">
              <w:rPr>
                <w:color w:val="000000"/>
                <w:spacing w:val="-1"/>
                <w:sz w:val="20"/>
              </w:rPr>
              <w:t>Valstybės narės užtikrina nuoseklų ES cheminių medžiagų teisės aktų sistemos laikymąsi</w:t>
            </w:r>
          </w:p>
        </w:tc>
        <w:tc>
          <w:tcPr>
            <w:tcW w:w="111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32794E" w:rsidRPr="00986029" w:rsidRDefault="0032794E"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55232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55232F">
            <w:pPr>
              <w:spacing w:after="0"/>
              <w:jc w:val="center"/>
              <w:rPr>
                <w:rFonts w:cs="Arial"/>
                <w:sz w:val="20"/>
                <w:szCs w:val="20"/>
              </w:rPr>
            </w:pPr>
          </w:p>
        </w:tc>
        <w:tc>
          <w:tcPr>
            <w:tcW w:w="1110"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55232F">
            <w:pPr>
              <w:spacing w:after="0"/>
              <w:jc w:val="center"/>
              <w:rPr>
                <w:rFonts w:cs="Arial"/>
                <w:sz w:val="20"/>
                <w:szCs w:val="20"/>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32794E" w:rsidRPr="00986029" w:rsidRDefault="0032794E" w:rsidP="0055232F">
            <w:pPr>
              <w:spacing w:after="0"/>
              <w:jc w:val="center"/>
              <w:rPr>
                <w:rFonts w:cs="Arial"/>
                <w:sz w:val="20"/>
                <w:szCs w:val="20"/>
              </w:rPr>
            </w:pPr>
          </w:p>
        </w:tc>
      </w:tr>
    </w:tbl>
    <w:p w:rsidR="0055232F" w:rsidRPr="00986029" w:rsidRDefault="00776184" w:rsidP="0055232F">
      <w:pPr>
        <w:pStyle w:val="Numbering"/>
        <w:spacing w:before="120"/>
        <w:ind w:left="357" w:hanging="357"/>
        <w:rPr>
          <w:sz w:val="24"/>
        </w:rPr>
      </w:pPr>
      <w:r w:rsidRPr="00986029">
        <w:t xml:space="preserve">Jei jums žinomi kokie nors konkretūs skirtingų cheminių medžiagų arba su cheminėmis medžiagomis susijusių teisės aktų nesuderinamumo atvejai (spragos ar trūkstamos jungtys, dubliavimasis, neatitikimai ir kt.), nurodykite tai čia. </w:t>
      </w:r>
    </w:p>
    <w:p w:rsidR="00E977A1" w:rsidRPr="00986029" w:rsidRDefault="00E977A1" w:rsidP="00E977A1">
      <w:pPr>
        <w:pStyle w:val="Numbering"/>
        <w:numPr>
          <w:ilvl w:val="0"/>
          <w:numId w:val="0"/>
        </w:numPr>
        <w:spacing w:before="120"/>
        <w:ind w:left="357"/>
        <w:rPr>
          <w:sz w:val="24"/>
        </w:rPr>
      </w:pPr>
    </w:p>
    <w:tbl>
      <w:tblPr>
        <w:tblStyle w:val="TableGrid"/>
        <w:tblW w:w="0" w:type="auto"/>
        <w:tblInd w:w="108" w:type="dxa"/>
        <w:tblLook w:val="04A0" w:firstRow="1" w:lastRow="0" w:firstColumn="1" w:lastColumn="0" w:noHBand="0" w:noVBand="1"/>
      </w:tblPr>
      <w:tblGrid>
        <w:gridCol w:w="9134"/>
      </w:tblGrid>
      <w:tr w:rsidR="00776184" w:rsidRPr="00986029" w:rsidTr="0055232F">
        <w:tc>
          <w:tcPr>
            <w:tcW w:w="9134" w:type="dxa"/>
          </w:tcPr>
          <w:p w:rsidR="00776184" w:rsidRPr="00986029" w:rsidRDefault="0055232F" w:rsidP="0055232F">
            <w:pPr>
              <w:pStyle w:val="Numbering"/>
              <w:numPr>
                <w:ilvl w:val="0"/>
                <w:numId w:val="0"/>
              </w:numPr>
              <w:spacing w:before="0"/>
              <w:rPr>
                <w:sz w:val="20"/>
                <w:szCs w:val="20"/>
              </w:rPr>
            </w:pPr>
            <w:r w:rsidRPr="00986029">
              <w:rPr>
                <w:sz w:val="20"/>
              </w:rPr>
              <w:t>Apibūdinkite nenuoseklumą čia:</w:t>
            </w:r>
          </w:p>
          <w:p w:rsidR="0055232F" w:rsidRPr="00986029" w:rsidRDefault="0055232F" w:rsidP="0055232F">
            <w:pPr>
              <w:pStyle w:val="Numbering"/>
              <w:numPr>
                <w:ilvl w:val="0"/>
                <w:numId w:val="0"/>
              </w:numPr>
              <w:spacing w:before="0"/>
              <w:rPr>
                <w:sz w:val="20"/>
                <w:szCs w:val="20"/>
              </w:rPr>
            </w:pPr>
          </w:p>
          <w:p w:rsidR="005C302B" w:rsidRPr="00986029" w:rsidRDefault="005C302B" w:rsidP="0055232F">
            <w:pPr>
              <w:pStyle w:val="Numbering"/>
              <w:numPr>
                <w:ilvl w:val="0"/>
                <w:numId w:val="0"/>
              </w:numPr>
              <w:spacing w:before="0"/>
              <w:rPr>
                <w:sz w:val="20"/>
                <w:szCs w:val="20"/>
              </w:rPr>
            </w:pPr>
          </w:p>
        </w:tc>
      </w:tr>
    </w:tbl>
    <w:p w:rsidR="004D6C95" w:rsidRPr="00986029" w:rsidRDefault="004D6C95" w:rsidP="004D6C95"/>
    <w:p w:rsidR="004D6C95" w:rsidRPr="00986029" w:rsidRDefault="004D6C95" w:rsidP="004D6C95">
      <w:pPr>
        <w:pStyle w:val="Numbering"/>
        <w:spacing w:after="120"/>
        <w:ind w:left="357" w:hanging="357"/>
      </w:pPr>
      <w:r w:rsidRPr="00986029">
        <w:t>Kaip neatsiliekate nuo reguliavimo reikalavimų pagal ES cheminių medžiagų teisės aktus pokyčių, pavyzdžiui, pasikeitusių ženklinimo ir pakavimo reikalavimų arba rizikos valdymo reikalavimų?  Ar patys stebite teisės aktų derinimus su technikos pažanga, ar pasikliaujate kitų asmenų teikiama informacija apie tai, kaip jie gali paveikti klasifikavimą, ženklinimą, pakavimą ir rizikos valdymą?</w:t>
      </w:r>
    </w:p>
    <w:tbl>
      <w:tblPr>
        <w:tblStyle w:val="TableGrid"/>
        <w:tblW w:w="0" w:type="auto"/>
        <w:tblInd w:w="108" w:type="dxa"/>
        <w:tblLook w:val="04A0" w:firstRow="1" w:lastRow="0" w:firstColumn="1" w:lastColumn="0" w:noHBand="0" w:noVBand="1"/>
      </w:tblPr>
      <w:tblGrid>
        <w:gridCol w:w="6804"/>
        <w:gridCol w:w="2268"/>
      </w:tblGrid>
      <w:tr w:rsidR="004D6C95" w:rsidRPr="00986029" w:rsidTr="002D60CD">
        <w:tc>
          <w:tcPr>
            <w:tcW w:w="6804" w:type="dxa"/>
            <w:shd w:val="clear" w:color="auto" w:fill="569BBE"/>
          </w:tcPr>
          <w:p w:rsidR="004D6C95" w:rsidRPr="00986029" w:rsidRDefault="004D6C95" w:rsidP="002D60CD">
            <w:pPr>
              <w:pStyle w:val="Numbering"/>
              <w:numPr>
                <w:ilvl w:val="0"/>
                <w:numId w:val="0"/>
              </w:numPr>
              <w:spacing w:before="0"/>
              <w:jc w:val="center"/>
              <w:rPr>
                <w:b/>
                <w:color w:val="FFFFFF" w:themeColor="background1"/>
                <w:sz w:val="20"/>
                <w:szCs w:val="20"/>
              </w:rPr>
            </w:pPr>
          </w:p>
        </w:tc>
        <w:tc>
          <w:tcPr>
            <w:tcW w:w="2268" w:type="dxa"/>
            <w:shd w:val="clear" w:color="auto" w:fill="569BBE"/>
            <w:vAlign w:val="center"/>
          </w:tcPr>
          <w:p w:rsidR="004D6C95" w:rsidRPr="00986029" w:rsidRDefault="004D6C95" w:rsidP="002D60CD">
            <w:pPr>
              <w:pStyle w:val="Numbering"/>
              <w:numPr>
                <w:ilvl w:val="0"/>
                <w:numId w:val="0"/>
              </w:numPr>
              <w:spacing w:before="0"/>
              <w:jc w:val="center"/>
              <w:rPr>
                <w:b/>
                <w:color w:val="FFFFFF" w:themeColor="background1"/>
                <w:sz w:val="20"/>
                <w:szCs w:val="20"/>
              </w:rPr>
            </w:pPr>
            <w:r w:rsidRPr="00986029">
              <w:rPr>
                <w:b/>
                <w:color w:val="FFFFFF" w:themeColor="background1"/>
                <w:sz w:val="20"/>
              </w:rPr>
              <w:t>Pažymėkite varnele geriausiai jūsų požiūrį atitinkantį atsakymą</w:t>
            </w:r>
          </w:p>
        </w:tc>
      </w:tr>
      <w:tr w:rsidR="004D6C95" w:rsidRPr="00986029" w:rsidTr="002D60CD">
        <w:tc>
          <w:tcPr>
            <w:tcW w:w="6804" w:type="dxa"/>
          </w:tcPr>
          <w:p w:rsidR="004D6C95" w:rsidRPr="00986029" w:rsidRDefault="004D6C95" w:rsidP="0055232F">
            <w:pPr>
              <w:pStyle w:val="Numbering"/>
              <w:numPr>
                <w:ilvl w:val="0"/>
                <w:numId w:val="0"/>
              </w:numPr>
              <w:spacing w:before="0"/>
              <w:rPr>
                <w:sz w:val="20"/>
                <w:szCs w:val="20"/>
              </w:rPr>
            </w:pPr>
            <w:r w:rsidRPr="00986029">
              <w:rPr>
                <w:sz w:val="20"/>
              </w:rPr>
              <w:t>Mano bendrovė stebi derinimų su technikos pažanga išvadas</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6804" w:type="dxa"/>
          </w:tcPr>
          <w:p w:rsidR="004D6C95" w:rsidRPr="00986029" w:rsidRDefault="004D6C95" w:rsidP="0055232F">
            <w:pPr>
              <w:pStyle w:val="Numbering"/>
              <w:numPr>
                <w:ilvl w:val="0"/>
                <w:numId w:val="0"/>
              </w:numPr>
              <w:spacing w:before="0"/>
              <w:rPr>
                <w:sz w:val="20"/>
                <w:szCs w:val="20"/>
              </w:rPr>
            </w:pPr>
            <w:r w:rsidRPr="00986029">
              <w:rPr>
                <w:sz w:val="20"/>
              </w:rPr>
              <w:t>Apie derinimų su technikos pažanga pakeitimus mums praneša išorės paslaugų teikėjas</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6804" w:type="dxa"/>
          </w:tcPr>
          <w:p w:rsidR="004D6C95" w:rsidRPr="00986029" w:rsidRDefault="004D6C95" w:rsidP="0055232F">
            <w:pPr>
              <w:pStyle w:val="Numbering"/>
              <w:numPr>
                <w:ilvl w:val="0"/>
                <w:numId w:val="0"/>
              </w:numPr>
              <w:spacing w:before="0"/>
              <w:rPr>
                <w:sz w:val="20"/>
                <w:szCs w:val="20"/>
              </w:rPr>
            </w:pPr>
            <w:r w:rsidRPr="00986029">
              <w:rPr>
                <w:sz w:val="20"/>
              </w:rPr>
              <w:t>Apie derinimų su technikos pažanga pakeitimus mums praneša nacionalinė asociacija</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6804" w:type="dxa"/>
          </w:tcPr>
          <w:p w:rsidR="004D6C95" w:rsidRPr="00986029" w:rsidRDefault="004D6C95" w:rsidP="0055232F">
            <w:pPr>
              <w:pStyle w:val="Numbering"/>
              <w:numPr>
                <w:ilvl w:val="0"/>
                <w:numId w:val="0"/>
              </w:numPr>
              <w:spacing w:before="0"/>
              <w:rPr>
                <w:sz w:val="20"/>
                <w:szCs w:val="20"/>
              </w:rPr>
            </w:pPr>
            <w:r w:rsidRPr="00986029">
              <w:rPr>
                <w:sz w:val="20"/>
              </w:rPr>
              <w:t>Apie pokyčius, darančius įtaką mūsų bendrovei, mus informuoja mūsų tiekėjai</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6804" w:type="dxa"/>
          </w:tcPr>
          <w:p w:rsidR="004D6C95" w:rsidRPr="00986029" w:rsidRDefault="004D6C95" w:rsidP="002D60CD">
            <w:pPr>
              <w:pStyle w:val="Numbering"/>
              <w:numPr>
                <w:ilvl w:val="0"/>
                <w:numId w:val="0"/>
              </w:numPr>
              <w:spacing w:before="0"/>
              <w:rPr>
                <w:sz w:val="20"/>
                <w:szCs w:val="20"/>
              </w:rPr>
            </w:pPr>
            <w:r w:rsidRPr="00986029">
              <w:rPr>
                <w:sz w:val="20"/>
              </w:rPr>
              <w:t>Nė vienas iš nurodytų atvejų / kita (nurodykite toliau)</w:t>
            </w:r>
          </w:p>
        </w:tc>
        <w:tc>
          <w:tcPr>
            <w:tcW w:w="2268" w:type="dxa"/>
          </w:tcPr>
          <w:p w:rsidR="004D6C95" w:rsidRPr="00986029" w:rsidRDefault="004D6C95" w:rsidP="002D60CD">
            <w:pPr>
              <w:pStyle w:val="Numbering"/>
              <w:numPr>
                <w:ilvl w:val="0"/>
                <w:numId w:val="0"/>
              </w:numPr>
              <w:spacing w:before="0"/>
              <w:rPr>
                <w:sz w:val="20"/>
                <w:szCs w:val="20"/>
              </w:rPr>
            </w:pPr>
          </w:p>
        </w:tc>
      </w:tr>
      <w:tr w:rsidR="004D6C95" w:rsidRPr="00986029" w:rsidTr="002D60CD">
        <w:tc>
          <w:tcPr>
            <w:tcW w:w="6804" w:type="dxa"/>
          </w:tcPr>
          <w:p w:rsidR="004D6C95" w:rsidRPr="00986029" w:rsidRDefault="004D6C95" w:rsidP="002D60CD">
            <w:pPr>
              <w:pStyle w:val="Numbering"/>
              <w:numPr>
                <w:ilvl w:val="0"/>
                <w:numId w:val="0"/>
              </w:numPr>
              <w:spacing w:before="0"/>
              <w:rPr>
                <w:sz w:val="20"/>
                <w:szCs w:val="20"/>
              </w:rPr>
            </w:pPr>
            <w:r w:rsidRPr="00986029">
              <w:rPr>
                <w:sz w:val="20"/>
              </w:rPr>
              <w:t>Nežinau</w:t>
            </w:r>
          </w:p>
        </w:tc>
        <w:tc>
          <w:tcPr>
            <w:tcW w:w="2268" w:type="dxa"/>
          </w:tcPr>
          <w:p w:rsidR="004D6C95" w:rsidRPr="00986029" w:rsidRDefault="004D6C95" w:rsidP="002D60CD">
            <w:pPr>
              <w:pStyle w:val="Numbering"/>
              <w:numPr>
                <w:ilvl w:val="0"/>
                <w:numId w:val="0"/>
              </w:numPr>
              <w:spacing w:before="0"/>
              <w:rPr>
                <w:sz w:val="20"/>
                <w:szCs w:val="20"/>
              </w:rPr>
            </w:pPr>
          </w:p>
        </w:tc>
      </w:tr>
    </w:tbl>
    <w:p w:rsidR="00864F6C" w:rsidRPr="00986029" w:rsidRDefault="00864F6C" w:rsidP="00864F6C"/>
    <w:p w:rsidR="00EE683F" w:rsidRPr="00986029" w:rsidRDefault="00EE683F" w:rsidP="00EE683F">
      <w:pPr>
        <w:pStyle w:val="Numbering"/>
      </w:pPr>
      <w:r w:rsidRPr="00986029">
        <w:t xml:space="preserve">Ar turite dar pastabų apie chemines medžiagas reglamentuojančių teisės aktų, išskyrus REACH reglamentą, įgyvendinimą? </w:t>
      </w:r>
    </w:p>
    <w:p w:rsidR="00EE683F" w:rsidRPr="00986029" w:rsidRDefault="00EE683F" w:rsidP="00EE683F">
      <w:pPr>
        <w:pStyle w:val="Numbering"/>
        <w:numPr>
          <w:ilvl w:val="0"/>
          <w:numId w:val="0"/>
        </w:numPr>
        <w:spacing w:before="0"/>
        <w:ind w:left="357"/>
      </w:pPr>
    </w:p>
    <w:tbl>
      <w:tblPr>
        <w:tblStyle w:val="TableGrid"/>
        <w:tblW w:w="0" w:type="auto"/>
        <w:tblInd w:w="108" w:type="dxa"/>
        <w:tblLook w:val="04A0" w:firstRow="1" w:lastRow="0" w:firstColumn="1" w:lastColumn="0" w:noHBand="0" w:noVBand="1"/>
      </w:tblPr>
      <w:tblGrid>
        <w:gridCol w:w="9134"/>
      </w:tblGrid>
      <w:tr w:rsidR="00EE683F" w:rsidRPr="00986029" w:rsidTr="00E977A1">
        <w:tc>
          <w:tcPr>
            <w:tcW w:w="9134" w:type="dxa"/>
          </w:tcPr>
          <w:p w:rsidR="00EE683F" w:rsidRPr="00986029" w:rsidRDefault="00EE683F" w:rsidP="007A09D9">
            <w:pPr>
              <w:contextualSpacing/>
              <w:jc w:val="left"/>
              <w:rPr>
                <w:sz w:val="20"/>
                <w:szCs w:val="20"/>
              </w:rPr>
            </w:pPr>
          </w:p>
          <w:p w:rsidR="00EE683F" w:rsidRPr="00986029" w:rsidRDefault="00EE683F" w:rsidP="007A09D9">
            <w:pPr>
              <w:contextualSpacing/>
              <w:jc w:val="left"/>
              <w:rPr>
                <w:i/>
                <w:sz w:val="20"/>
                <w:szCs w:val="20"/>
              </w:rPr>
            </w:pPr>
            <w:r w:rsidRPr="00986029">
              <w:rPr>
                <w:i/>
                <w:sz w:val="20"/>
              </w:rPr>
              <w:t>Prašom įrašyti...</w:t>
            </w:r>
          </w:p>
          <w:p w:rsidR="00EE683F" w:rsidRPr="00986029" w:rsidRDefault="00EE683F" w:rsidP="007A09D9">
            <w:pPr>
              <w:contextualSpacing/>
              <w:jc w:val="left"/>
              <w:rPr>
                <w:sz w:val="20"/>
                <w:szCs w:val="20"/>
              </w:rPr>
            </w:pPr>
          </w:p>
          <w:p w:rsidR="00EE683F" w:rsidRPr="00986029" w:rsidRDefault="00EE683F" w:rsidP="007A09D9">
            <w:pPr>
              <w:contextualSpacing/>
              <w:jc w:val="left"/>
              <w:rPr>
                <w:sz w:val="20"/>
                <w:szCs w:val="20"/>
              </w:rPr>
            </w:pPr>
          </w:p>
        </w:tc>
      </w:tr>
    </w:tbl>
    <w:p w:rsidR="00E23C77" w:rsidRPr="00986029" w:rsidRDefault="00E23C77" w:rsidP="00E23C77">
      <w:pPr>
        <w:pStyle w:val="Numbering"/>
        <w:numPr>
          <w:ilvl w:val="0"/>
          <w:numId w:val="0"/>
        </w:numPr>
        <w:ind w:left="360" w:hanging="360"/>
        <w:rPr>
          <w:szCs w:val="22"/>
        </w:rPr>
      </w:pPr>
    </w:p>
    <w:p w:rsidR="00E23C77" w:rsidRPr="00986029" w:rsidRDefault="00E23C77" w:rsidP="00E23C77">
      <w:pPr>
        <w:pStyle w:val="Numbering"/>
        <w:numPr>
          <w:ilvl w:val="0"/>
          <w:numId w:val="0"/>
        </w:numPr>
        <w:ind w:left="360" w:hanging="360"/>
        <w:rPr>
          <w:szCs w:val="22"/>
        </w:rPr>
      </w:pPr>
      <w:r w:rsidRPr="00986029">
        <w:rPr>
          <w:b/>
        </w:rPr>
        <w:t>Terminų žodynėlis (glosarijus)</w:t>
      </w:r>
    </w:p>
    <w:p w:rsidR="00E23C77" w:rsidRPr="00986029" w:rsidRDefault="00E23C77" w:rsidP="00E23C77">
      <w:pPr>
        <w:pStyle w:val="Numbering"/>
        <w:numPr>
          <w:ilvl w:val="0"/>
          <w:numId w:val="17"/>
        </w:numPr>
        <w:rPr>
          <w:szCs w:val="22"/>
        </w:rPr>
      </w:pPr>
      <w:r w:rsidRPr="00986029">
        <w:rPr>
          <w:b/>
        </w:rPr>
        <w:t>Gamintojas</w:t>
      </w:r>
      <w:r w:rsidRPr="00986029">
        <w:t xml:space="preserve"> – cheminę medžiagą Europos Sąjungoje gaminanti bendrovė.</w:t>
      </w:r>
    </w:p>
    <w:p w:rsidR="00E23C77" w:rsidRPr="00986029" w:rsidRDefault="00E23C77" w:rsidP="00E23C77">
      <w:pPr>
        <w:pStyle w:val="Numbering"/>
        <w:numPr>
          <w:ilvl w:val="0"/>
          <w:numId w:val="17"/>
        </w:numPr>
        <w:rPr>
          <w:szCs w:val="22"/>
        </w:rPr>
      </w:pPr>
      <w:r w:rsidRPr="00986029">
        <w:rPr>
          <w:b/>
        </w:rPr>
        <w:lastRenderedPageBreak/>
        <w:t>Importuotojas</w:t>
      </w:r>
      <w:r w:rsidR="00986029">
        <w:t xml:space="preserve"> – </w:t>
      </w:r>
      <w:r w:rsidRPr="00986029">
        <w:t>už cheminių medžiagų ar mišinių importą į Europos Sąjungą atsakinga bendrovė.</w:t>
      </w:r>
    </w:p>
    <w:p w:rsidR="00E23C77" w:rsidRPr="00986029" w:rsidRDefault="00E23C77" w:rsidP="00E23C77">
      <w:pPr>
        <w:pStyle w:val="Numbering"/>
        <w:numPr>
          <w:ilvl w:val="0"/>
          <w:numId w:val="17"/>
        </w:numPr>
        <w:rPr>
          <w:szCs w:val="22"/>
        </w:rPr>
      </w:pPr>
      <w:r w:rsidRPr="00986029">
        <w:rPr>
          <w:b/>
        </w:rPr>
        <w:t>Platintojas</w:t>
      </w:r>
      <w:r w:rsidR="00986029">
        <w:t xml:space="preserve"> – </w:t>
      </w:r>
      <w:r w:rsidRPr="00986029">
        <w:t>bendrovė, įskaitant mažmenininkus, kuri tik sandėliuoja ir teikia rinkai trečiosioms šalims skirtą cheminę medžiagą – atskirą ar esančią mišinio sudėtyje.</w:t>
      </w:r>
    </w:p>
    <w:p w:rsidR="00E23C77" w:rsidRPr="00986029" w:rsidRDefault="006228CC" w:rsidP="00E23C77">
      <w:pPr>
        <w:pStyle w:val="Numbering"/>
        <w:numPr>
          <w:ilvl w:val="0"/>
          <w:numId w:val="17"/>
        </w:numPr>
        <w:rPr>
          <w:szCs w:val="22"/>
        </w:rPr>
      </w:pPr>
      <w:r w:rsidRPr="00986029">
        <w:rPr>
          <w:b/>
        </w:rPr>
        <w:t>Tolesnis naudotojas</w:t>
      </w:r>
      <w:r w:rsidRPr="00986029">
        <w:t xml:space="preserve"> – bendrovė, naudojanti cheminę medžiagą – atskirą ar esančią mišinio sudėtyje – savo pramoninėje ar profesionalioje veikloje. Tai gali būti bet koks perdirbimas, mišinio ruošimas, apdorojimas, maišymas, mišinio ar gaminio gamyba arba bet koks kitas panaudojimas. Tai neapima platintojų.</w:t>
      </w:r>
    </w:p>
    <w:p w:rsidR="006228CC" w:rsidRPr="00986029" w:rsidRDefault="006228CC" w:rsidP="006228CC">
      <w:pPr>
        <w:pStyle w:val="Numbering"/>
        <w:numPr>
          <w:ilvl w:val="0"/>
          <w:numId w:val="17"/>
        </w:numPr>
        <w:rPr>
          <w:b/>
          <w:szCs w:val="22"/>
        </w:rPr>
      </w:pPr>
      <w:r w:rsidRPr="00986029">
        <w:rPr>
          <w:b/>
        </w:rPr>
        <w:t>Mišinio ruošėjas –</w:t>
      </w:r>
      <w:r w:rsidR="00986029">
        <w:t xml:space="preserve"> </w:t>
      </w:r>
      <w:r w:rsidRPr="00986029">
        <w:t>tolesnių naudotojų, kurie sumaišo chemines medžiagas ir (arba) mišinius, kad pagamintų cheminį mišinį, pogrupis.</w:t>
      </w:r>
    </w:p>
    <w:p w:rsidR="00E977A1" w:rsidRPr="00986029" w:rsidRDefault="00E977A1" w:rsidP="00E23C77">
      <w:pPr>
        <w:pStyle w:val="Numbering"/>
        <w:numPr>
          <w:ilvl w:val="0"/>
          <w:numId w:val="17"/>
        </w:numPr>
        <w:rPr>
          <w:szCs w:val="22"/>
        </w:rPr>
      </w:pPr>
      <w:r w:rsidRPr="00986029">
        <w:rPr>
          <w:b/>
        </w:rPr>
        <w:t>KŽP reglamentas</w:t>
      </w:r>
      <w:r w:rsidR="00986029">
        <w:t xml:space="preserve"> – </w:t>
      </w:r>
      <w:r w:rsidRPr="00986029">
        <w:t>Reglamentas (EB) Nr. 1272/2008 dėl cheminių medžiagų ir mišinių klasifikavimo, ženklinimo ir pakavimo, taip pat vadinamas KŽP reglamentu.</w:t>
      </w:r>
    </w:p>
    <w:p w:rsidR="00E977A1" w:rsidRPr="00986029" w:rsidRDefault="00E977A1" w:rsidP="00E23C77">
      <w:pPr>
        <w:pStyle w:val="Numbering"/>
        <w:numPr>
          <w:ilvl w:val="0"/>
          <w:numId w:val="17"/>
        </w:numPr>
        <w:rPr>
          <w:szCs w:val="22"/>
        </w:rPr>
      </w:pPr>
      <w:r w:rsidRPr="00986029">
        <w:rPr>
          <w:b/>
        </w:rPr>
        <w:t>GLP</w:t>
      </w:r>
      <w:r w:rsidR="00986029">
        <w:t xml:space="preserve"> – </w:t>
      </w:r>
      <w:r w:rsidRPr="00986029">
        <w:t>geros laboratorinės praktikos (GLP) principai, kurie atitinka kokybės reikalavimus, taikomus cheminių medžiagų neklinikiniams saugos tyrimams.</w:t>
      </w:r>
    </w:p>
    <w:p w:rsidR="00687182" w:rsidRPr="00986029" w:rsidRDefault="00687182" w:rsidP="00687182">
      <w:pPr>
        <w:pStyle w:val="Numbering"/>
        <w:numPr>
          <w:ilvl w:val="0"/>
          <w:numId w:val="17"/>
        </w:numPr>
        <w:rPr>
          <w:szCs w:val="22"/>
        </w:rPr>
      </w:pPr>
      <w:r w:rsidRPr="00986029">
        <w:rPr>
          <w:b/>
        </w:rPr>
        <w:t>REACH reglamentas</w:t>
      </w:r>
      <w:r w:rsidR="00986029">
        <w:t xml:space="preserve"> – </w:t>
      </w:r>
      <w:r w:rsidRPr="00986029">
        <w:t>Reglamentas (EB) Nr. 1907/2006 dėl cheminių medžiagų registracijos, įvertinimo, autorizacijos ir apribojimų (REACH).</w:t>
      </w:r>
    </w:p>
    <w:p w:rsidR="00687182" w:rsidRPr="00986029" w:rsidRDefault="00687182" w:rsidP="00687182">
      <w:pPr>
        <w:pStyle w:val="Numbering"/>
        <w:numPr>
          <w:ilvl w:val="0"/>
          <w:numId w:val="17"/>
        </w:numPr>
        <w:rPr>
          <w:szCs w:val="22"/>
        </w:rPr>
      </w:pPr>
      <w:r w:rsidRPr="00986029">
        <w:rPr>
          <w:b/>
        </w:rPr>
        <w:t>ECHA</w:t>
      </w:r>
      <w:r w:rsidR="00986029">
        <w:t xml:space="preserve"> –</w:t>
      </w:r>
      <w:r w:rsidR="00986029">
        <w:tab/>
      </w:r>
      <w:r w:rsidRPr="00986029">
        <w:t>Europos cheminių medžiagų agentūra, įkurta Helsinkyje, Suomijoje.</w:t>
      </w:r>
    </w:p>
    <w:p w:rsidR="00687182" w:rsidRPr="00986029" w:rsidRDefault="00687182" w:rsidP="00687182">
      <w:pPr>
        <w:pStyle w:val="Numbering"/>
        <w:numPr>
          <w:ilvl w:val="0"/>
          <w:numId w:val="17"/>
        </w:numPr>
        <w:rPr>
          <w:szCs w:val="22"/>
        </w:rPr>
      </w:pPr>
      <w:r w:rsidRPr="00986029">
        <w:rPr>
          <w:b/>
        </w:rPr>
        <w:t>Tinkamumo patikra</w:t>
      </w:r>
      <w:r w:rsidR="00986029">
        <w:t xml:space="preserve"> – </w:t>
      </w:r>
      <w:r w:rsidRPr="00986029">
        <w:t>išsamus įvairių Europos teisės aktų vertinimas. Vertinamas jų efektyvumas, veiksmingumas, aktualumas ir nuoseklumas, taip pat pridėtinė tokių Europos lygmens teisės aktų vertė.</w:t>
      </w:r>
    </w:p>
    <w:p w:rsidR="00687182" w:rsidRPr="00986029" w:rsidRDefault="00687182" w:rsidP="00687182">
      <w:pPr>
        <w:pStyle w:val="Numbering"/>
        <w:numPr>
          <w:ilvl w:val="0"/>
          <w:numId w:val="17"/>
        </w:numPr>
        <w:rPr>
          <w:szCs w:val="22"/>
        </w:rPr>
      </w:pPr>
      <w:r w:rsidRPr="00986029">
        <w:rPr>
          <w:b/>
        </w:rPr>
        <w:t>Cheminių medžiagų teisės aktų sistema</w:t>
      </w:r>
      <w:r w:rsidR="00986029">
        <w:t xml:space="preserve">. </w:t>
      </w:r>
      <w:r w:rsidRPr="00986029">
        <w:t>Cheminių medžiagų teisės aktai apima labai daug įvairių teisės aktų, kuriais reglamentuojamas cheminių medžiagų rizikos valdymas. Tai apima teisės aktus, kuriais reglamentuojamos cheminės medžiagos ir mišiniai, taip pat teisės aktus, reglamentuojančius produktus, kurių sudėtyje yra cheminių medžiagų. Tai taip pat apima su cheminėmis medžiagomis susijusias aplinkos teisės aktų dalis, darbuotojų saugos teisės aktus ir transporto teisės aktus.</w:t>
      </w:r>
    </w:p>
    <w:p w:rsidR="00E23C77" w:rsidRPr="00986029" w:rsidRDefault="00E23C77" w:rsidP="00E23C77">
      <w:pPr>
        <w:pStyle w:val="Numbering"/>
        <w:numPr>
          <w:ilvl w:val="0"/>
          <w:numId w:val="0"/>
        </w:numPr>
        <w:ind w:left="360" w:hanging="360"/>
        <w:rPr>
          <w:b/>
          <w:szCs w:val="22"/>
        </w:rPr>
      </w:pPr>
    </w:p>
    <w:sectPr w:rsidR="00E23C77" w:rsidRPr="009860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7B" w:rsidRDefault="00001F7B" w:rsidP="00002C14">
      <w:pPr>
        <w:spacing w:after="0"/>
      </w:pPr>
      <w:r>
        <w:separator/>
      </w:r>
    </w:p>
  </w:endnote>
  <w:endnote w:type="continuationSeparator" w:id="0">
    <w:p w:rsidR="00001F7B" w:rsidRDefault="00001F7B" w:rsidP="00002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7B" w:rsidRDefault="00001F7B" w:rsidP="00002C14">
      <w:pPr>
        <w:spacing w:after="0"/>
      </w:pPr>
      <w:r>
        <w:separator/>
      </w:r>
    </w:p>
  </w:footnote>
  <w:footnote w:type="continuationSeparator" w:id="0">
    <w:p w:rsidR="00001F7B" w:rsidRDefault="00001F7B" w:rsidP="00002C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350"/>
    <w:multiLevelType w:val="multilevel"/>
    <w:tmpl w:val="73A853D8"/>
    <w:lvl w:ilvl="0">
      <w:start w:val="1"/>
      <w:numFmt w:val="bullet"/>
      <w:pStyle w:val="Bulletlist"/>
      <w:lvlText w:val=""/>
      <w:lvlJc w:val="left"/>
      <w:pPr>
        <w:ind w:left="360" w:hanging="360"/>
      </w:pPr>
      <w:rPr>
        <w:rFonts w:ascii="Symbol" w:hAnsi="Symbol" w:hint="default"/>
        <w:sz w:val="20"/>
      </w:rPr>
    </w:lvl>
    <w:lvl w:ilvl="1">
      <w:start w:val="1"/>
      <w:numFmt w:val="bullet"/>
      <w:pStyle w:val="Bulletlist2"/>
      <w:lvlText w:val=""/>
      <w:lvlJc w:val="left"/>
      <w:pPr>
        <w:ind w:left="107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497220E"/>
    <w:multiLevelType w:val="hybridMultilevel"/>
    <w:tmpl w:val="FC8AF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CD38E3"/>
    <w:multiLevelType w:val="multilevel"/>
    <w:tmpl w:val="A516D8D0"/>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D7021F3"/>
    <w:multiLevelType w:val="hybridMultilevel"/>
    <w:tmpl w:val="B78878D6"/>
    <w:lvl w:ilvl="0" w:tplc="322C3604">
      <w:start w:val="1"/>
      <w:numFmt w:val="decimal"/>
      <w:pStyle w:val="Numbering"/>
      <w:lvlText w:val="%1."/>
      <w:lvlJc w:val="left"/>
      <w:pPr>
        <w:ind w:left="360" w:hanging="360"/>
      </w:pPr>
      <w:rPr>
        <w:rFonts w:hint="default"/>
        <w:b w:val="0"/>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C17E0D"/>
    <w:multiLevelType w:val="hybridMultilevel"/>
    <w:tmpl w:val="360E3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2E64"/>
    <w:multiLevelType w:val="hybridMultilevel"/>
    <w:tmpl w:val="7C80DD4E"/>
    <w:lvl w:ilvl="0" w:tplc="B904501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01A6B"/>
    <w:multiLevelType w:val="hybridMultilevel"/>
    <w:tmpl w:val="4694F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13EFD"/>
    <w:multiLevelType w:val="hybridMultilevel"/>
    <w:tmpl w:val="C03EBFA0"/>
    <w:lvl w:ilvl="0" w:tplc="223CD0E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7"/>
  </w:num>
  <w:num w:numId="8">
    <w:abstractNumId w:val="3"/>
    <w:lvlOverride w:ilvl="0">
      <w:startOverride w:val="1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6BC9"/>
    <w:rsid w:val="00001F7B"/>
    <w:rsid w:val="00002C14"/>
    <w:rsid w:val="00015489"/>
    <w:rsid w:val="00024975"/>
    <w:rsid w:val="00025517"/>
    <w:rsid w:val="0003190E"/>
    <w:rsid w:val="00050E63"/>
    <w:rsid w:val="000852A8"/>
    <w:rsid w:val="00087C51"/>
    <w:rsid w:val="000928E0"/>
    <w:rsid w:val="00095CA7"/>
    <w:rsid w:val="000A369D"/>
    <w:rsid w:val="000A3DDE"/>
    <w:rsid w:val="000A7D7B"/>
    <w:rsid w:val="000D364A"/>
    <w:rsid w:val="000E2B28"/>
    <w:rsid w:val="000E7C2B"/>
    <w:rsid w:val="000F6428"/>
    <w:rsid w:val="000F7DA4"/>
    <w:rsid w:val="00116BB0"/>
    <w:rsid w:val="0014262C"/>
    <w:rsid w:val="00154A96"/>
    <w:rsid w:val="001574C8"/>
    <w:rsid w:val="00164BCE"/>
    <w:rsid w:val="001727AE"/>
    <w:rsid w:val="00182F2D"/>
    <w:rsid w:val="001864CD"/>
    <w:rsid w:val="00194484"/>
    <w:rsid w:val="001C52F6"/>
    <w:rsid w:val="001D2859"/>
    <w:rsid w:val="00212E39"/>
    <w:rsid w:val="00217922"/>
    <w:rsid w:val="002213E9"/>
    <w:rsid w:val="00261DD1"/>
    <w:rsid w:val="00274659"/>
    <w:rsid w:val="002903F1"/>
    <w:rsid w:val="002A547B"/>
    <w:rsid w:val="002C4042"/>
    <w:rsid w:val="002C611E"/>
    <w:rsid w:val="002D4547"/>
    <w:rsid w:val="00310DE4"/>
    <w:rsid w:val="0032794E"/>
    <w:rsid w:val="00334B51"/>
    <w:rsid w:val="00361088"/>
    <w:rsid w:val="00372620"/>
    <w:rsid w:val="00377602"/>
    <w:rsid w:val="00392B32"/>
    <w:rsid w:val="003A1019"/>
    <w:rsid w:val="003C67D9"/>
    <w:rsid w:val="003E728E"/>
    <w:rsid w:val="003F4A82"/>
    <w:rsid w:val="003F5559"/>
    <w:rsid w:val="00413FE1"/>
    <w:rsid w:val="00416AEF"/>
    <w:rsid w:val="0043017E"/>
    <w:rsid w:val="004313E9"/>
    <w:rsid w:val="00455E4D"/>
    <w:rsid w:val="004571EA"/>
    <w:rsid w:val="00461B8E"/>
    <w:rsid w:val="00484612"/>
    <w:rsid w:val="004956C6"/>
    <w:rsid w:val="004D02F8"/>
    <w:rsid w:val="004D562E"/>
    <w:rsid w:val="004D6C95"/>
    <w:rsid w:val="00501440"/>
    <w:rsid w:val="005408A4"/>
    <w:rsid w:val="005458B3"/>
    <w:rsid w:val="0055232F"/>
    <w:rsid w:val="005551D4"/>
    <w:rsid w:val="0057384D"/>
    <w:rsid w:val="0058087A"/>
    <w:rsid w:val="0058169B"/>
    <w:rsid w:val="00584D3D"/>
    <w:rsid w:val="005B37D1"/>
    <w:rsid w:val="005B5A9A"/>
    <w:rsid w:val="005C0FF1"/>
    <w:rsid w:val="005C302B"/>
    <w:rsid w:val="005D477B"/>
    <w:rsid w:val="005E0A82"/>
    <w:rsid w:val="005E14B8"/>
    <w:rsid w:val="005E3AA1"/>
    <w:rsid w:val="005F04B6"/>
    <w:rsid w:val="005F69D1"/>
    <w:rsid w:val="005F6C68"/>
    <w:rsid w:val="00603CBA"/>
    <w:rsid w:val="006118CA"/>
    <w:rsid w:val="006228CC"/>
    <w:rsid w:val="00634C54"/>
    <w:rsid w:val="0063531F"/>
    <w:rsid w:val="00642D78"/>
    <w:rsid w:val="00644D97"/>
    <w:rsid w:val="00650D02"/>
    <w:rsid w:val="006655BD"/>
    <w:rsid w:val="00671717"/>
    <w:rsid w:val="00687182"/>
    <w:rsid w:val="00693495"/>
    <w:rsid w:val="00695D4B"/>
    <w:rsid w:val="006A09B3"/>
    <w:rsid w:val="006B7103"/>
    <w:rsid w:val="006D0265"/>
    <w:rsid w:val="00712A23"/>
    <w:rsid w:val="00721CA7"/>
    <w:rsid w:val="00722436"/>
    <w:rsid w:val="00725900"/>
    <w:rsid w:val="00726C04"/>
    <w:rsid w:val="007312F9"/>
    <w:rsid w:val="0073153C"/>
    <w:rsid w:val="007404EA"/>
    <w:rsid w:val="00741958"/>
    <w:rsid w:val="00742B5C"/>
    <w:rsid w:val="00776184"/>
    <w:rsid w:val="007775A6"/>
    <w:rsid w:val="00780C2E"/>
    <w:rsid w:val="0078666B"/>
    <w:rsid w:val="007A09D9"/>
    <w:rsid w:val="007B4CE7"/>
    <w:rsid w:val="007B57F0"/>
    <w:rsid w:val="007D692C"/>
    <w:rsid w:val="00805ED8"/>
    <w:rsid w:val="008417D2"/>
    <w:rsid w:val="00854565"/>
    <w:rsid w:val="00856103"/>
    <w:rsid w:val="00864F6C"/>
    <w:rsid w:val="00877D77"/>
    <w:rsid w:val="00890DC5"/>
    <w:rsid w:val="008A54AF"/>
    <w:rsid w:val="008B5019"/>
    <w:rsid w:val="008D4B21"/>
    <w:rsid w:val="009064F7"/>
    <w:rsid w:val="00911D7D"/>
    <w:rsid w:val="0091661F"/>
    <w:rsid w:val="0092519D"/>
    <w:rsid w:val="00960DDA"/>
    <w:rsid w:val="009709EC"/>
    <w:rsid w:val="00972E8A"/>
    <w:rsid w:val="00972F4B"/>
    <w:rsid w:val="009732EC"/>
    <w:rsid w:val="009771A9"/>
    <w:rsid w:val="00986029"/>
    <w:rsid w:val="00987CF7"/>
    <w:rsid w:val="009B3021"/>
    <w:rsid w:val="009C3B17"/>
    <w:rsid w:val="009D741F"/>
    <w:rsid w:val="009E7842"/>
    <w:rsid w:val="00A00716"/>
    <w:rsid w:val="00A130C5"/>
    <w:rsid w:val="00A16A62"/>
    <w:rsid w:val="00A26572"/>
    <w:rsid w:val="00A31C0C"/>
    <w:rsid w:val="00A82590"/>
    <w:rsid w:val="00AA22F5"/>
    <w:rsid w:val="00AA5454"/>
    <w:rsid w:val="00AB64BF"/>
    <w:rsid w:val="00AD0020"/>
    <w:rsid w:val="00AD6D5B"/>
    <w:rsid w:val="00AE6DB5"/>
    <w:rsid w:val="00AF6BC9"/>
    <w:rsid w:val="00B0450B"/>
    <w:rsid w:val="00B21CF5"/>
    <w:rsid w:val="00B32292"/>
    <w:rsid w:val="00B75DCA"/>
    <w:rsid w:val="00B7668C"/>
    <w:rsid w:val="00BA41D0"/>
    <w:rsid w:val="00BB2D76"/>
    <w:rsid w:val="00BB6C08"/>
    <w:rsid w:val="00BC18A3"/>
    <w:rsid w:val="00BC2EC6"/>
    <w:rsid w:val="00BD30A5"/>
    <w:rsid w:val="00BD33B3"/>
    <w:rsid w:val="00BE4198"/>
    <w:rsid w:val="00BF0534"/>
    <w:rsid w:val="00C12D54"/>
    <w:rsid w:val="00C2037E"/>
    <w:rsid w:val="00C34381"/>
    <w:rsid w:val="00C3572B"/>
    <w:rsid w:val="00C44D9E"/>
    <w:rsid w:val="00C527D9"/>
    <w:rsid w:val="00C5435B"/>
    <w:rsid w:val="00C55392"/>
    <w:rsid w:val="00C60FD9"/>
    <w:rsid w:val="00C6516A"/>
    <w:rsid w:val="00C663D9"/>
    <w:rsid w:val="00C74A17"/>
    <w:rsid w:val="00C921BF"/>
    <w:rsid w:val="00C93C24"/>
    <w:rsid w:val="00CA2650"/>
    <w:rsid w:val="00CC5259"/>
    <w:rsid w:val="00CC6031"/>
    <w:rsid w:val="00CD3B64"/>
    <w:rsid w:val="00CE09D1"/>
    <w:rsid w:val="00CE17CE"/>
    <w:rsid w:val="00D02731"/>
    <w:rsid w:val="00D13686"/>
    <w:rsid w:val="00D31CBE"/>
    <w:rsid w:val="00D3579E"/>
    <w:rsid w:val="00D37154"/>
    <w:rsid w:val="00D52B46"/>
    <w:rsid w:val="00D560F4"/>
    <w:rsid w:val="00D71CDD"/>
    <w:rsid w:val="00D81618"/>
    <w:rsid w:val="00D8253A"/>
    <w:rsid w:val="00D94E62"/>
    <w:rsid w:val="00DA37B2"/>
    <w:rsid w:val="00DB25B6"/>
    <w:rsid w:val="00DB41E9"/>
    <w:rsid w:val="00DF6893"/>
    <w:rsid w:val="00E06576"/>
    <w:rsid w:val="00E13994"/>
    <w:rsid w:val="00E2263F"/>
    <w:rsid w:val="00E23C77"/>
    <w:rsid w:val="00E24FE3"/>
    <w:rsid w:val="00E33F04"/>
    <w:rsid w:val="00E356F0"/>
    <w:rsid w:val="00E5417C"/>
    <w:rsid w:val="00E66EE0"/>
    <w:rsid w:val="00E913D3"/>
    <w:rsid w:val="00E977A1"/>
    <w:rsid w:val="00EB3CA4"/>
    <w:rsid w:val="00ED532F"/>
    <w:rsid w:val="00EE2B1B"/>
    <w:rsid w:val="00EE4497"/>
    <w:rsid w:val="00EE683F"/>
    <w:rsid w:val="00EF5048"/>
    <w:rsid w:val="00F0695C"/>
    <w:rsid w:val="00F25C0A"/>
    <w:rsid w:val="00F90146"/>
    <w:rsid w:val="00F920F4"/>
    <w:rsid w:val="00F97C4F"/>
    <w:rsid w:val="00F97ECB"/>
    <w:rsid w:val="00FA2E08"/>
    <w:rsid w:val="00FA5189"/>
    <w:rsid w:val="00FB4492"/>
    <w:rsid w:val="00FC537E"/>
    <w:rsid w:val="00FD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F11A-7AF1-4D6C-ACF2-B174AC21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C9"/>
    <w:pPr>
      <w:spacing w:line="240" w:lineRule="auto"/>
      <w:jc w:val="both"/>
    </w:pPr>
  </w:style>
  <w:style w:type="paragraph" w:styleId="Heading1">
    <w:name w:val="heading 1"/>
    <w:aliases w:val="Chapter heading,h1,Section,1. Overskrift 1,(Section),Numbered - 1,Chapter Hdg,CH TITLE 1,Headline 1,cover1,intoduction,head1,Chapter Heading,IMPACT STUDY TITLE1,TITLE 1 NR,title 1 nr,Title 1,ariad2-heading1,1H,1h,1H1,1H2,1H11,1,section head"/>
    <w:basedOn w:val="Normal"/>
    <w:next w:val="Heading2"/>
    <w:link w:val="Heading1Char"/>
    <w:qFormat/>
    <w:rsid w:val="00AF6BC9"/>
    <w:pPr>
      <w:keepNext/>
      <w:keepLines/>
      <w:pageBreakBefore/>
      <w:numPr>
        <w:numId w:val="1"/>
      </w:numPr>
      <w:pBdr>
        <w:bottom w:val="single" w:sz="18" w:space="1" w:color="FF0000"/>
      </w:pBdr>
      <w:spacing w:before="480" w:after="240"/>
      <w:outlineLvl w:val="0"/>
    </w:pPr>
    <w:rPr>
      <w:rFonts w:eastAsiaTheme="majorEastAsia" w:cstheme="majorBidi"/>
      <w:b/>
      <w:bCs/>
      <w:sz w:val="36"/>
      <w:szCs w:val="28"/>
    </w:rPr>
  </w:style>
  <w:style w:type="paragraph" w:styleId="Heading2">
    <w:name w:val="heading 2"/>
    <w:aliases w:val="Heading 1.1,h2,Hanging 2 Indent,numbered indent 2,ni2,2,H2,Subsection,fo,headi,heading2,h21,h22,21,Heading Two"/>
    <w:basedOn w:val="Normal"/>
    <w:next w:val="Heading3"/>
    <w:link w:val="Heading2Char"/>
    <w:unhideWhenUsed/>
    <w:qFormat/>
    <w:rsid w:val="00AF6BC9"/>
    <w:pPr>
      <w:keepNext/>
      <w:keepLines/>
      <w:numPr>
        <w:ilvl w:val="1"/>
        <w:numId w:val="1"/>
      </w:numPr>
      <w:spacing w:before="240" w:after="240"/>
      <w:outlineLvl w:val="1"/>
    </w:pPr>
    <w:rPr>
      <w:rFonts w:ascii="Calibri" w:eastAsiaTheme="majorEastAsia" w:hAnsi="Calibri" w:cs="Times New Roman"/>
      <w:b/>
      <w:sz w:val="32"/>
      <w:szCs w:val="26"/>
    </w:rPr>
  </w:style>
  <w:style w:type="paragraph" w:styleId="Heading3">
    <w:name w:val="heading 3"/>
    <w:aliases w:val="Heading 1.1.1"/>
    <w:basedOn w:val="Normal"/>
    <w:next w:val="Normal"/>
    <w:link w:val="Heading3Char"/>
    <w:unhideWhenUsed/>
    <w:qFormat/>
    <w:rsid w:val="00AF6BC9"/>
    <w:pPr>
      <w:keepNext/>
      <w:keepLines/>
      <w:numPr>
        <w:ilvl w:val="2"/>
        <w:numId w:val="1"/>
      </w:numPr>
      <w:spacing w:before="240" w:after="240"/>
      <w:outlineLvl w:val="2"/>
    </w:pPr>
    <w:rPr>
      <w:rFonts w:ascii="Calibri" w:eastAsiaTheme="majorEastAsia" w:hAnsi="Calibri" w:cstheme="majorBidi"/>
      <w:b/>
      <w:bCs/>
      <w:sz w:val="28"/>
    </w:rPr>
  </w:style>
  <w:style w:type="paragraph" w:styleId="Heading7">
    <w:name w:val="heading 7"/>
    <w:basedOn w:val="Normal"/>
    <w:next w:val="Normal"/>
    <w:link w:val="Heading7Char"/>
    <w:uiPriority w:val="9"/>
    <w:unhideWhenUsed/>
    <w:qFormat/>
    <w:rsid w:val="00AF6B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F6B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F6B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h1 Char,Section Char,1. Overskrift 1 Char,(Section) Char,Numbered - 1 Char,Chapter Hdg Char,CH TITLE 1 Char,Headline 1 Char,cover1 Char,intoduction Char,head1 Char,Chapter Heading Char,IMPACT STUDY TITLE1 Char,1H Char"/>
    <w:basedOn w:val="DefaultParagraphFont"/>
    <w:link w:val="Heading1"/>
    <w:rsid w:val="00AF6BC9"/>
    <w:rPr>
      <w:rFonts w:eastAsiaTheme="majorEastAsia" w:cstheme="majorBidi"/>
      <w:b/>
      <w:bCs/>
      <w:sz w:val="36"/>
      <w:szCs w:val="28"/>
    </w:rPr>
  </w:style>
  <w:style w:type="character" w:customStyle="1" w:styleId="Heading2Char">
    <w:name w:val="Heading 2 Char"/>
    <w:aliases w:val="Heading 1.1 Char,h2 Char,Hanging 2 Indent Char,numbered indent 2 Char,ni2 Char,2 Char,H2 Char,Subsection Char,fo Char,headi Char,heading2 Char,h21 Char,h22 Char,21 Char,Heading Two Char"/>
    <w:basedOn w:val="DefaultParagraphFont"/>
    <w:link w:val="Heading2"/>
    <w:rsid w:val="00AF6BC9"/>
    <w:rPr>
      <w:rFonts w:ascii="Calibri" w:eastAsiaTheme="majorEastAsia" w:hAnsi="Calibri" w:cs="Times New Roman"/>
      <w:b/>
      <w:sz w:val="32"/>
      <w:szCs w:val="26"/>
    </w:rPr>
  </w:style>
  <w:style w:type="character" w:customStyle="1" w:styleId="Heading3Char">
    <w:name w:val="Heading 3 Char"/>
    <w:aliases w:val="Heading 1.1.1 Char"/>
    <w:basedOn w:val="DefaultParagraphFont"/>
    <w:link w:val="Heading3"/>
    <w:rsid w:val="00AF6BC9"/>
    <w:rPr>
      <w:rFonts w:ascii="Calibri" w:eastAsiaTheme="majorEastAsia" w:hAnsi="Calibri" w:cstheme="majorBidi"/>
      <w:b/>
      <w:bCs/>
      <w:sz w:val="28"/>
    </w:rPr>
  </w:style>
  <w:style w:type="character" w:customStyle="1" w:styleId="Heading7Char">
    <w:name w:val="Heading 7 Char"/>
    <w:basedOn w:val="DefaultParagraphFont"/>
    <w:link w:val="Heading7"/>
    <w:uiPriority w:val="9"/>
    <w:rsid w:val="00AF6B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F6B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F6BC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AF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BC9"/>
    <w:rPr>
      <w:color w:val="0000FF" w:themeColor="hyperlink"/>
      <w:u w:val="single"/>
    </w:rPr>
  </w:style>
  <w:style w:type="paragraph" w:customStyle="1" w:styleId="Numbering">
    <w:name w:val="Numbering"/>
    <w:basedOn w:val="ListParagraph"/>
    <w:link w:val="NumberingChar"/>
    <w:uiPriority w:val="11"/>
    <w:qFormat/>
    <w:rsid w:val="00AF6BC9"/>
    <w:pPr>
      <w:numPr>
        <w:numId w:val="2"/>
      </w:numPr>
      <w:spacing w:before="200" w:after="0"/>
      <w:contextualSpacing w:val="0"/>
    </w:pPr>
    <w:rPr>
      <w:szCs w:val="24"/>
    </w:rPr>
  </w:style>
  <w:style w:type="character" w:customStyle="1" w:styleId="NumberingChar">
    <w:name w:val="Numbering Char"/>
    <w:basedOn w:val="DefaultParagraphFont"/>
    <w:link w:val="Numbering"/>
    <w:uiPriority w:val="11"/>
    <w:rsid w:val="00AF6BC9"/>
    <w:rPr>
      <w:szCs w:val="24"/>
    </w:rPr>
  </w:style>
  <w:style w:type="paragraph" w:styleId="ListParagraph">
    <w:name w:val="List Paragraph"/>
    <w:basedOn w:val="Normal"/>
    <w:uiPriority w:val="34"/>
    <w:qFormat/>
    <w:rsid w:val="00AF6BC9"/>
    <w:pPr>
      <w:ind w:left="720"/>
      <w:contextualSpacing/>
    </w:pPr>
  </w:style>
  <w:style w:type="paragraph" w:customStyle="1" w:styleId="Table">
    <w:name w:val="Table"/>
    <w:basedOn w:val="Normal"/>
    <w:link w:val="TableChar"/>
    <w:qFormat/>
    <w:rsid w:val="00AF6BC9"/>
    <w:pPr>
      <w:spacing w:after="0"/>
    </w:pPr>
    <w:rPr>
      <w:color w:val="000000" w:themeColor="text1"/>
      <w:sz w:val="20"/>
      <w:szCs w:val="24"/>
    </w:rPr>
  </w:style>
  <w:style w:type="character" w:customStyle="1" w:styleId="TableChar">
    <w:name w:val="Table Char"/>
    <w:basedOn w:val="DefaultParagraphFont"/>
    <w:link w:val="Table"/>
    <w:rsid w:val="00AF6BC9"/>
    <w:rPr>
      <w:color w:val="000000" w:themeColor="text1"/>
      <w:sz w:val="20"/>
      <w:szCs w:val="24"/>
    </w:rPr>
  </w:style>
  <w:style w:type="table" w:customStyle="1" w:styleId="TableGrid9">
    <w:name w:val="Table Grid9"/>
    <w:basedOn w:val="TableNormal"/>
    <w:next w:val="TableGrid"/>
    <w:uiPriority w:val="59"/>
    <w:rsid w:val="00AF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link w:val="BulletlistChar"/>
    <w:uiPriority w:val="10"/>
    <w:qFormat/>
    <w:rsid w:val="00AF6BC9"/>
    <w:pPr>
      <w:numPr>
        <w:numId w:val="3"/>
      </w:numPr>
      <w:spacing w:after="240"/>
      <w:ind w:left="709" w:hanging="357"/>
    </w:pPr>
    <w:rPr>
      <w:szCs w:val="24"/>
    </w:rPr>
  </w:style>
  <w:style w:type="paragraph" w:customStyle="1" w:styleId="Bulletlist2">
    <w:name w:val="Bullet list 2"/>
    <w:basedOn w:val="Bulletlist"/>
    <w:uiPriority w:val="10"/>
    <w:qFormat/>
    <w:rsid w:val="00AF6BC9"/>
    <w:pPr>
      <w:numPr>
        <w:ilvl w:val="1"/>
      </w:numPr>
      <w:ind w:left="1134" w:hanging="357"/>
    </w:pPr>
  </w:style>
  <w:style w:type="character" w:customStyle="1" w:styleId="BulletlistChar">
    <w:name w:val="Bullet list Char"/>
    <w:basedOn w:val="DefaultParagraphFont"/>
    <w:link w:val="Bulletlist"/>
    <w:uiPriority w:val="10"/>
    <w:rsid w:val="00AF6BC9"/>
    <w:rPr>
      <w:szCs w:val="24"/>
    </w:rPr>
  </w:style>
  <w:style w:type="paragraph" w:styleId="Caption">
    <w:name w:val="caption"/>
    <w:basedOn w:val="Table"/>
    <w:next w:val="Normal"/>
    <w:uiPriority w:val="35"/>
    <w:unhideWhenUsed/>
    <w:qFormat/>
    <w:rsid w:val="00EE683F"/>
    <w:pPr>
      <w:keepNext/>
      <w:jc w:val="center"/>
    </w:pPr>
    <w:rPr>
      <w:b/>
    </w:rPr>
  </w:style>
  <w:style w:type="table" w:customStyle="1" w:styleId="TableGrid6">
    <w:name w:val="Table Grid6"/>
    <w:basedOn w:val="TableNormal"/>
    <w:next w:val="TableGrid"/>
    <w:uiPriority w:val="59"/>
    <w:rsid w:val="00EE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55392"/>
    <w:rPr>
      <w:sz w:val="16"/>
      <w:szCs w:val="16"/>
    </w:rPr>
  </w:style>
  <w:style w:type="paragraph" w:styleId="CommentText">
    <w:name w:val="annotation text"/>
    <w:basedOn w:val="Normal"/>
    <w:link w:val="CommentTextChar"/>
    <w:uiPriority w:val="99"/>
    <w:unhideWhenUsed/>
    <w:rsid w:val="00C55392"/>
    <w:rPr>
      <w:sz w:val="20"/>
      <w:szCs w:val="20"/>
    </w:rPr>
  </w:style>
  <w:style w:type="character" w:customStyle="1" w:styleId="CommentTextChar">
    <w:name w:val="Comment Text Char"/>
    <w:basedOn w:val="DefaultParagraphFont"/>
    <w:link w:val="CommentText"/>
    <w:uiPriority w:val="99"/>
    <w:rsid w:val="00C55392"/>
    <w:rPr>
      <w:sz w:val="20"/>
      <w:szCs w:val="20"/>
    </w:rPr>
  </w:style>
  <w:style w:type="paragraph" w:styleId="CommentSubject">
    <w:name w:val="annotation subject"/>
    <w:basedOn w:val="CommentText"/>
    <w:next w:val="CommentText"/>
    <w:link w:val="CommentSubjectChar"/>
    <w:uiPriority w:val="99"/>
    <w:semiHidden/>
    <w:unhideWhenUsed/>
    <w:rsid w:val="00C55392"/>
    <w:rPr>
      <w:b/>
      <w:bCs/>
    </w:rPr>
  </w:style>
  <w:style w:type="character" w:customStyle="1" w:styleId="CommentSubjectChar">
    <w:name w:val="Comment Subject Char"/>
    <w:basedOn w:val="CommentTextChar"/>
    <w:link w:val="CommentSubject"/>
    <w:uiPriority w:val="99"/>
    <w:semiHidden/>
    <w:rsid w:val="00C55392"/>
    <w:rPr>
      <w:b/>
      <w:bCs/>
      <w:sz w:val="20"/>
      <w:szCs w:val="20"/>
    </w:rPr>
  </w:style>
  <w:style w:type="paragraph" w:styleId="BalloonText">
    <w:name w:val="Balloon Text"/>
    <w:basedOn w:val="Normal"/>
    <w:link w:val="BalloonTextChar"/>
    <w:uiPriority w:val="99"/>
    <w:semiHidden/>
    <w:unhideWhenUsed/>
    <w:rsid w:val="00C553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92"/>
    <w:rPr>
      <w:rFonts w:ascii="Tahoma" w:hAnsi="Tahoma" w:cs="Tahoma"/>
      <w:sz w:val="16"/>
      <w:szCs w:val="16"/>
    </w:rPr>
  </w:style>
  <w:style w:type="character" w:customStyle="1" w:styleId="st">
    <w:name w:val="st"/>
    <w:basedOn w:val="DefaultParagraphFont"/>
    <w:rsid w:val="0063531F"/>
  </w:style>
  <w:style w:type="character" w:styleId="Emphasis">
    <w:name w:val="Emphasis"/>
    <w:basedOn w:val="DefaultParagraphFont"/>
    <w:uiPriority w:val="20"/>
    <w:qFormat/>
    <w:rsid w:val="0063531F"/>
    <w:rPr>
      <w:i/>
      <w:iCs/>
    </w:rPr>
  </w:style>
  <w:style w:type="table" w:customStyle="1" w:styleId="TableGrid10">
    <w:name w:val="Table Grid10"/>
    <w:basedOn w:val="TableNormal"/>
    <w:next w:val="TableGrid"/>
    <w:uiPriority w:val="59"/>
    <w:rsid w:val="0074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9EC"/>
    <w:pPr>
      <w:spacing w:after="0" w:line="240" w:lineRule="auto"/>
    </w:pPr>
  </w:style>
  <w:style w:type="paragraph" w:styleId="Header">
    <w:name w:val="header"/>
    <w:basedOn w:val="Normal"/>
    <w:link w:val="HeaderChar"/>
    <w:uiPriority w:val="99"/>
    <w:unhideWhenUsed/>
    <w:rsid w:val="00002C14"/>
    <w:pPr>
      <w:tabs>
        <w:tab w:val="center" w:pos="4513"/>
        <w:tab w:val="right" w:pos="9026"/>
      </w:tabs>
      <w:spacing w:after="0"/>
    </w:pPr>
  </w:style>
  <w:style w:type="character" w:customStyle="1" w:styleId="HeaderChar">
    <w:name w:val="Header Char"/>
    <w:basedOn w:val="DefaultParagraphFont"/>
    <w:link w:val="Header"/>
    <w:uiPriority w:val="99"/>
    <w:rsid w:val="00002C14"/>
  </w:style>
  <w:style w:type="paragraph" w:styleId="Footer">
    <w:name w:val="footer"/>
    <w:basedOn w:val="Normal"/>
    <w:link w:val="FooterChar"/>
    <w:uiPriority w:val="99"/>
    <w:unhideWhenUsed/>
    <w:rsid w:val="00002C14"/>
    <w:pPr>
      <w:tabs>
        <w:tab w:val="center" w:pos="4513"/>
        <w:tab w:val="right" w:pos="9026"/>
      </w:tabs>
      <w:spacing w:after="0"/>
    </w:pPr>
  </w:style>
  <w:style w:type="character" w:customStyle="1" w:styleId="FooterChar">
    <w:name w:val="Footer Char"/>
    <w:basedOn w:val="DefaultParagraphFont"/>
    <w:link w:val="Footer"/>
    <w:uiPriority w:val="99"/>
    <w:rsid w:val="0000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E8AD4B-8D86-42F0-AA15-E7D3F4DC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9169</Words>
  <Characters>5227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Mahal</dc:creator>
  <cp:lastModifiedBy>Marijus Muralis</cp:lastModifiedBy>
  <cp:revision>12</cp:revision>
  <cp:lastPrinted>2016-05-10T12:23:00Z</cp:lastPrinted>
  <dcterms:created xsi:type="dcterms:W3CDTF">2016-05-10T18:03:00Z</dcterms:created>
  <dcterms:modified xsi:type="dcterms:W3CDTF">2016-06-28T07:30:00Z</dcterms:modified>
</cp:coreProperties>
</file>